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D-7903/2025 vom 20. Oktober 2025</w:t>
      </w:r>
    </w:p>
    <w:p>
      <w:r>
        <w:t>Bundesverwaltungsgericht, 2025-10-20, DE</w:t>
      </w:r>
    </w:p>
    <w:p>
      <w:r>
        <w:rPr>
          <w:b/>
        </w:rPr>
        <w:t xml:space="preserve">Quelle: </w:t>
      </w:r>
      <w:r>
        <w:t>https://mcp.opencaselaw.ch/entscheid/bvger_D-7903_2025</w:t>
      </w:r>
    </w:p>
    <w:p>
      <w:r>
        <w:t>FR: TAF D-7903/2025 du 20 octobre 2025</w:t>
      </w:r>
    </w:p>
    <w:p>
      <w:r>
        <w:t>IT: TAF D-7903/2025 del 20 ottobre 2025</w:t>
      </w:r>
    </w:p>
    <w:p>
      <w:pPr>
        <w:pStyle w:val="Heading2"/>
      </w:pPr>
      <w:r>
        <w:t>Regeste</w:t>
      </w:r>
    </w:p>
    <w:p>
      <w:r>
        <w:t>Asyl und Wegweisung (Art. 40 i.V.m. Art. 6a Abs. 2 AsylG)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Bst. b des Reglements vom 21. Februar 2008 über die Kosten und Ent- schädigungen vor dem Bundesverwaltungsgericht [VGKE, SR 173.320.2]). (Dispositiv nächste Seite)</w:t>
      </w:r>
    </w:p>
    <w:p>
      <w:r>
        <w:t>D-7903/2025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