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D-788/2021 vom 25. November 2024</w:t>
      </w:r>
    </w:p>
    <w:p>
      <w:r>
        <w:t>Bundesverwaltungsgericht, 2024-11-25, DE</w:t>
      </w:r>
    </w:p>
    <w:p>
      <w:r>
        <w:rPr>
          <w:b/>
        </w:rPr>
        <w:t xml:space="preserve">Quelle: </w:t>
      </w:r>
      <w:r>
        <w:t>https://mcp.opencaselaw.ch/entscheid/bvger_D-788_2021</w:t>
      </w:r>
    </w:p>
    <w:p>
      <w:r>
        <w:t>FR: TAF D-788/2021 du 25 novembre 2024</w:t>
      </w:r>
    </w:p>
    <w:p>
      <w:r>
        <w:t>IT: TAF D-788/2021 del 25 novembre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(Art. 108 Abs. 3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nachfolgend aufgezeigt, handelt es - aus heutiger Sicht betrachtet - vorliegend um eine solche Beschwerde, weshalb das Urteil nur summarisch zu begründen ist (Art. 111a Abs.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5.2</w:t>
      </w:r>
    </w:p>
    <w:p>
      <w:r>
        <w:t>In allen Fällen nach Art. 31a Abs. 1 AsylG ist erforderlich, dass hinsichtlich des Vollzugs eine Rückübernahmezusicherung des Drittstaates vorliegt. Die Möglichkeit des Wegweisungsvollzugs (und nicht nur der Weiterreise oder Rückkehr) ist Rechtmässigkeitsvoraussetzung für den Erlass eines Nichteintretensentscheids gemäss Art. 31a Abs. 1 AsylG (vgl. Constantin Hruschka in: Spescha et al. [Hrsg.], Kommentar zum Migrationsrecht, 5. Aufl. 2019, Art. 31a AsylG Rz. 3, vgl. auch BBl 2002 6845, 6850).</w:t>
      </w:r>
    </w:p>
    <w:p>
      <w:r>
        <w:rPr>
          <w:b/>
        </w:rPr>
        <w:t>E. 6.1</w:t>
      </w:r>
    </w:p>
    <w:p>
      <w:r>
        <w:t>Das SEM führt zur Begründung seiner Verfügung im Wesentlichen aus, Abklärungen hätten ergeben, dass die Beschwerdeführerin in Italien subsidiären Schutz erhalten habe. Am 10. Juni 2019 habe sich Italien bereit erklärt, sie zurückzunehmen. Diese Zustimmung sei am 9. September 2020 von den italienischen Behörden bestätigt worden. Für ein allfälliges Ersuchen um Wiedererwägung des Asylentscheides sei nicht die Schweiz, sondern Italien zuständig. Aus der Anwesenheit ihres Halbbruders beziehungsweise Cousins zweiten Grades in der Schweiz lasse sich kein Zuständigkeitskriterium ableiten. Schliesslich sei der Wegweisungsvollzug zulässig, zumutbar und möglich.</w:t>
      </w:r>
    </w:p>
    <w:p>
      <w:r>
        <w:rPr>
          <w:b/>
        </w:rPr>
        <w:t>E. 6.2</w:t>
      </w:r>
    </w:p>
    <w:p>
      <w:r>
        <w:t>In der Beschwerde wird dem entgegengehalten, die Ermächtigung zur Rückübernahme gemäss Art. 6 Abs. 3 des Abkommens zwischen der Schweizerischen Eidgenossenschaft und der Italienischen Republik über die Rückübernahme von Personen mit unbefugtem Aufenthalt (Rückübernahmeabkommen, SR 0.142.114.549) gelte für einen Monat ab dem Zeitpunkt ihrer Bekanntgabe. Die Zustimmung sei deshalb zum Entscheidzeitpunkt abgelaufen. Die Beschwerdeführerin habe sich berechtigte Hoffnungen auf einen Verbleib in der Schweiz gemacht und die Mitteilung des Nichteintretensentscheides habe einen traumatisierenden Effekt gehabt. Im Weiteren sei davon auszugehen, dass der italienische Aufenthaltstitel nicht erneuert werden könne. Der Wegweisungsvollzug der schwerst traumatisierten Beschwerdeführerin sei überdies unzulässig und unzumutbar.</w:t>
      </w:r>
    </w:p>
    <w:p>
      <w:r>
        <w:rPr>
          <w:b/>
        </w:rPr>
        <w:t>E. 6.3</w:t>
      </w:r>
    </w:p>
    <w:p>
      <w:r>
        <w:t>In seiner Vernehmlassung verweist das SEM auf seine Erwägungen in der angefochtenen Verfügung, an welchen es vollumfänglich festhält.</w:t>
      </w:r>
    </w:p>
    <w:p>
      <w:r>
        <w:rPr>
          <w:b/>
        </w:rPr>
        <w:t>E. 7.1</w:t>
      </w:r>
    </w:p>
    <w:p>
      <w:r>
        <w:t>Gemäss Art. 6 Abs. 3 des Rückübernahmeabkommens teilt die ersuchte Vertragspartei den eigenen Entscheid der ersuchenden Vertragspartei innert kürzester Frist, spätestens innert acht Tagen, schriftlich mit und die Ermächtigung zur Rückübernahme gilt für einen Monat ab dem Zeitpunkt der Bekanntgabe; diese Frist kann auf Antrag der ersuchenden Vertragspartei verlängert werden. Die italienischen Behörden haben am 10. Juni 2019 dem SEM ihre Zustimmung bekannt gemacht und diese am 9. September 2020 bestätigt (vgl. Sachverhalt Bst. A.d und I). Demnach wäre die Ermächtigung bis am 9. Oktober 2020 gültig gewesen. Aus den Überstellungsmodalitäten des SEM geht hervor, dass die Zustimmung der italienischen Behörden in der Regel sechs Monate gültig sei und der zuständige Kanton dafür zu sorgen habe, dass rechtzeitig beim Dublin-Office eine Verlängerung der Übernahmefrist beantragt werde (vgl. SEM-act. [...]-28/2). Die sechsmonatige Frist ist somit am 9. März 2021 - und demnach bereits vor dem Ergehen der Vernehmlassung des SEM - abgelaufen. Ob das SEM oder die kantonalen Behörden eine (weitere) Fristverlängerung eingereicht haben, ist den Akten nicht zu entnehmen.</w:t>
      </w:r>
    </w:p>
    <w:p>
      <w:r>
        <w:rPr>
          <w:b/>
        </w:rPr>
        <w:t>E. 7.2</w:t>
      </w:r>
    </w:p>
    <w:p>
      <w:r>
        <w:t>Im Weiteren ist lediglich bekannt, dass die Beschwerdeführerin am 2. Mai 2016 in Italien ein Asylgesuch stellte, ihr subsidiärer Schutz gewährt wurde und sie zum Zeitpunkt der Zustimmung Italiens am 10. Juni 2019 über einen von Italien ausgestellten Aufenthaltstitel verfügte (vgl. Sachverhalt Bst. A.b-A.d). Das Ausstellungs- beziehungsweise Ablaufdatum der Aufenthaltsbewilligung ist weder der Zustimmungserklärung des Innenministeriums vom 10. Juli 2019 noch der Bestätigung dieser Zustimmung vom 9. September 2020 zu entnehmen (vgl. SEM-act. [...]-27/1 und 59/2). Jedoch ist davon auszugehen, dass der für fünf Jahre gültige und grundsätzlich erneuerbare italienische Aufenthaltstitel zwischenzeitlich abgelaufen ist (vgl. UNHCR, Italy, Rights and obligations of recognized refugees and beneficiaries of subsidiary protection, https://help.unhcr.org/italy/asylum-italy/rights/, abgerufen am 13.11.2024). Demnach ist offen, ob die Beschwerdeführerin, welche sich mutmasslich seit November 2017 nicht mehr in Italien aufgehalten hat (vgl. Sachverhalt Bst. A.b), ihren italienischen Aufenthaltstitel zum heutigen Zeitpunkt überhaupt verlängern könnte.</w:t>
      </w:r>
    </w:p>
    <w:p>
      <w:r>
        <w:rPr>
          <w:b/>
        </w:rPr>
        <w:t>E. 7.3</w:t>
      </w:r>
    </w:p>
    <w:p>
      <w:r>
        <w:t>Nach dem Gesagten liegt keine klare und unmissverständliche Rückübernahmezusicherung seitens des zur Übernahme ersuchten Staats vor. Es erscheint insbesondere angesichts der inzwischen vergangenen Zeit fraglich, ob zum aktuellen Zeitpunkt tatsächlich noch eine Aufnahmebereitschaft seitens der italienischen Behörden beziehungsweise eine Vollzugsmöglichkeit besteht (vgl. E. 5.2).</w:t>
      </w:r>
    </w:p>
    <w:p>
      <w:r>
        <w:rPr>
          <w:b/>
        </w:rPr>
        <w:t>E. 8.1</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Dies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8.2</w:t>
      </w:r>
    </w:p>
    <w:p>
      <w:r>
        <w:t>Die Beschwerde ist somit gutzuheissen, soweit die Aufhebung der angefochtenen Verfügung beantragt wird. Die vorinstanzliche Verfügung vom 4. Februar 2021 ist aufzuheben und die Sache im Sinne der Erwägung 7 zur vollständigen Feststellung des Sachverhalts an die Vorinstanz zurückzuweisen. Bei dieser Sachlage erübrigt sich eine Auseinandersetzung mit den weiteren Vorbringen in den Rechtsschriften, weil sie Gegenstand des wiederaufzunehmenden Verfahrens sein werden und das SEM sich damit zu befassen haben wird.</w:t>
      </w:r>
    </w:p>
    <w:p>
      <w:r>
        <w:rPr>
          <w:b/>
        </w:rPr>
        <w:t>E. 9.1</w:t>
      </w:r>
    </w:p>
    <w:p>
      <w:r>
        <w:t>Bei diesem Ausgang des Verfahrens sind keine Kosten aufzuerlegen (Art. 63 Abs. 1 und 2 VwVG). Damit wird die mit der Instruktionsverfügung vom 25. Februar 2021 gewährte unentgeltliche Prozessführung nachträglich gegenstandslos.</w:t>
      </w:r>
    </w:p>
    <w:p>
      <w:r>
        <w:rPr>
          <w:b/>
        </w:rPr>
        <w:t>E. 9.2</w:t>
      </w:r>
    </w:p>
    <w:p>
      <w:r>
        <w:t>Der vertretenen Beschwerdeführerin ist angesichts des Ausgangs des Verfahrens in Anwendung von Art. 64 VwVG und Art. 7 Abs. 1 des Reglements vom 21. Februar 2008 über die Kosten und Entschädigungen vor dem Bundesverwaltungsgericht (VGKE, SR 173.320.2) eine Entschädigung für die ihr notwendigerweise erwachsenen Parteikosten zuzusprechen. Die von der vormaligen Rechtsvertreterin mit der Beschwerde eingereichte Kostennote, gemäss welcher keine Mehrwertsteuerpflicht bestehe, weist einen Zeitaufwand von 9 Stunden bei einem Stundenansatz von Fr. 150.- sowie Auslagen in der Höhe von Fr. 4.20 aus. Dieser Aufwand und der Stundenansatz erscheinen angemessen. In der Kostennote nicht enthalten ist der für die Eingabe vom 23. März 2021, die Eingabe vom 10. Mai 2022, die Verfahrensstandsanfrage vom 6. März 2023, das Gesuch um Entlassung aus dem Mandat vom 10. März 2023 und die Eingabe vom 21. Oktober 2024 getätigte Aufwand, welcher von Amtes wegen auf 2.5 Stunden zu veranschlagen ist. Der gesamte Aufwand beläuft sich demnach auf 11.5 Stunden und es ist von Auslagen in der Höhe von Fr. 45.- auszugehen. Die von der Vorinstanz auszurichtende Parteientschädigung ist demnach auf Fr. 1'770.- (inkl. Auslagen) festzusetzen. Damit wird die mit der Instruktionsverfügung vom 25. Februar 2021 gewährte unentgeltliche Rechtsverbeiständung nachträglich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