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D-7888/2015 vom 30. August 2016</w:t>
      </w:r>
    </w:p>
    <w:p>
      <w:r>
        <w:t>Bundesverwaltungsgericht, 2016-08-30, DE</w:t>
      </w:r>
    </w:p>
    <w:p>
      <w:r>
        <w:rPr>
          <w:b/>
        </w:rPr>
        <w:t xml:space="preserve">Quelle: </w:t>
      </w:r>
      <w:r>
        <w:t>https://mcp.opencaselaw.ch/entscheid/bvger_D-7888_2015</w:t>
      </w:r>
    </w:p>
    <w:p>
      <w:r>
        <w:t>FR: TAF D-7888/2015 du 30 août 2016</w:t>
      </w:r>
    </w:p>
    <w:p>
      <w:r>
        <w:t>IT: TAF D-7888/2015 del 30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Asyl, sofern keine Asylausschlussgründe im Sinne von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Nach Lehre und Rechtsprechung (vgl. BVGE 2013/11 E. 5.1 m.w.H.)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4.3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Raum für gewisse Einwände und Zweifel an den Vorbringen der asylsuchenden Person. Eine Behauptung gilt bereits als glaubhaft gemacht, wenn das Gericht von ihrer Wahrheit nicht völlig überzeugt ist, sie aber überwiegend für wahr hält. Demgegenüber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w:t>
      </w:r>
    </w:p>
    <w:p>
      <w:r>
        <w:rPr>
          <w:b/>
        </w:rPr>
        <w:t>E. 4.4</w:t>
      </w:r>
    </w:p>
    <w:p>
      <w:r>
        <w:t>Der Beschwerdeführer gab bei der Anhörung an, er sei von Oktober (...) bis Februar (...) inhaftiert gewesen und während dieser Zeit mehrfach geschlagen und ausgepeitscht worden (A7 F114; F130). Diese und weitere Ereignisse, hätten das Weiterleben in seinem Heimatland verunmöglicht. Ausserdem habe er dauernd in ständiger Angst vor einer wiederholten Verhaftung leben müssen. Die Schilderungen des Beschwerdeführers stehen im Widerspruch dazu, dass er nach dem Gefängnisaufenthalt und den andauernden Repressionen durch die herrschende Regierung weitere sechs Jahre im Land habe Leben können, ohne dass ihm in dieser Zeit etwas zugestossen ist. In Anbetracht dessen, dass der Beschwerdeführer im Jahr 2011 aus geschäftlichen Gründen, mehrmals das Land mit einem gültigen Reisepass verlassen konnte und trotz der geschilderten Probleme wieder ins Heimatland zurückgekehrt ist (A4 S.5, 2.04), kann die geltend gemachte Verfolgung im Heimatstaat nicht geglaubt werden. Im Übrigen kann zur Vermeidung von Wiederholungen auf die zutreffende Erwägung der Vorinstanz verwiesen werden.</w:t>
      </w:r>
    </w:p>
    <w:p>
      <w:r>
        <w:rPr>
          <w:b/>
        </w:rPr>
        <w:t>E. 4.5</w:t>
      </w:r>
    </w:p>
    <w:p>
      <w:r>
        <w:t>Vom Beschwerdeführer wird vorgebracht, die Narben auf seinem Rücken seien Folterspuren, welche ihm im Gefängnis zugefügt worden seien. Nach dem Gesagten und in Berücksichtigung der Tatsache, dass die Ursache der Narben unbekannt ist, vermag dieses Vorbringen die geltend gemachte Verfolgung nicht zu belegen.</w:t>
      </w:r>
    </w:p>
    <w:p>
      <w:r>
        <w:rPr>
          <w:b/>
        </w:rPr>
        <w:t>E. 5.1</w:t>
      </w:r>
    </w:p>
    <w:p>
      <w:r>
        <w:t>Der Beschwerdeführer beruft sich überdies auf sein exilpolitisches Engagement und somit auf subjektive Nachfluchtgründe.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5.2</w:t>
      </w:r>
    </w:p>
    <w:p>
      <w:r>
        <w:t>Gemäss den Erkenntnissen des Bundesverwaltungsgerichts (vgl. Ur-teil E-705/2014 vom 6. März 2014 mit Hinweisen auf die Urteile D- 5248/2008 vom 12. Februar 2009 und E-368/2009 vom 12. Februar 2009 sowie dort zitierte weitere Urteile) ist zwar davon auszugehen, die äthiopischen Sicherheitsbehörden würden die Aktivitäten der jeweiligen Exilgemeinschaften im Rahmen ihrer Möglichkeiten überwachen und mittels elektronischer Datenbanken registrieren. Dieser Umstand reicht für sich allein genommen indessen nicht aus, um eine begründete Verfolgungsfurcht darzulegen. Vielmehr müssen zusätzliche, konkrete Anhaltspunkte - nicht nur eine abstrakte oder rein theoretische Möglichkeit - dafür vorliegen, dass ein exilpolitisch aktiver äthiopischer Staatsbürger tatsächlich das Interesse der äthiopischen Behörden auf sich gezogen hat und als regimefeindliche Person namentlich identifiziert und registriert worden ist. Als ausschlaggebendes Kriterium ist daher zu prüfen, ob das Verhalten des Beschwerdeführers geeignet ist, ihn als Regimekritiker und damit als konkrete Bedrohung für das politische System Äthiopiens aufgrund einer exponierten politischen Tätigkeit erscheinen zu lassen.</w:t>
      </w:r>
    </w:p>
    <w:p>
      <w:r>
        <w:rPr>
          <w:b/>
        </w:rPr>
        <w:t>E. 5.3</w:t>
      </w:r>
    </w:p>
    <w:p>
      <w:r>
        <w:t>Dies ist vorliegend zu verneinen. Soweit aus den eingereichten Beweismitteln sowie den Ausführungen des Beschwerdeführers ersichtlich, ist er sowohl in quantitativer als auch in qualitativer Hinsicht lediglich marginal in Erscheinung getreten. Seine Aktivitäten weisen daher eine zu geringe Intensität auf, um ihn als ernsthafte Bedrohung für das politische System zu betrachten. Das Vorliegen subjektiver Nachfluchtgründe ist daher zu verneinen.</w:t>
      </w:r>
    </w:p>
    <w:p>
      <w:r>
        <w:rPr>
          <w:b/>
        </w:rPr>
        <w:t>E. 5.4</w:t>
      </w:r>
    </w:p>
    <w:p>
      <w:r>
        <w:t>Somit hat die Vorinstanz zu Recht die Flüchtlingseigenschaft des Beschwerdeführers verneint und das Asylgesuch abgewiesen. Weitere Ausführungen zu den Vorbringen und den als Beweismittel eingereichten Dokumenten erübrigen sich somit.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Was die allgemeine Lage in Äthiopien anbelangt, ist festzustellen, dass dort weder Krieg, Bürgerkrieg noch eine Situation allgemeiner Gewalt herrscht, weshalb der Wegweisungsvollzug diesbezüglich als zumutbar zu bezeichnen ist.</w:t>
      </w:r>
    </w:p>
    <w:p>
      <w:r>
        <w:rPr>
          <w:b/>
        </w:rPr>
        <w:t>E. 7.6</w:t>
      </w:r>
    </w:p>
    <w:p>
      <w:r>
        <w:t>Darüber hinaus sind keine Hinweise ersichtlich, dass der Beschwer-deführer im Heimatland aus individuellen Gründen einer konkreten Ge-fährdung im Sinne von Art. 83 Abs. 4 AuG ausgesetzt sein könnte. Dem Beschwerdeführer werden seine Schulbildung und die Berufserfahrung als langjähriger und erfolgreich tätiger (...) in Äthiopien (vgl. A4 S. 4, 1.17.05) beim Aufbau einer neuen Existenz von Nutzen sein. In Anbetracht dessen, dass sich seine Familie in Äthiopien aufhält (Ehefrau und zwei Kinder [vgl. A4 S. 6, 3.01; A7 S. 19 F 203]), darf von einem tragfähigen Beziehungsnetz ausgegangen werden, welches ihm bei der Wiedereingliederung behilflich sein kann. Der Vollzug der Wegweisung erweist sich somit auch unter Berücksichtigung der persönlichen Umstände als zumutbar.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7.8</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