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D-7880/2015 vom 24. April 2018</w:t>
      </w:r>
    </w:p>
    <w:p>
      <w:r>
        <w:t>Bundesverwaltungsgericht, 2018-04-24, DE</w:t>
      </w:r>
    </w:p>
    <w:p>
      <w:r>
        <w:rPr>
          <w:b/>
        </w:rPr>
        <w:t xml:space="preserve">Quelle: </w:t>
      </w:r>
      <w:r>
        <w:t>https://mcp.opencaselaw.ch/entscheid/bvger_D-7880_2015</w:t>
      </w:r>
    </w:p>
    <w:p>
      <w:r>
        <w:t>FR: TAF D-7880/2015 du 24 avril 2018</w:t>
      </w:r>
    </w:p>
    <w:p>
      <w:r>
        <w:t>IT: TAF D-7880/2015 del 24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Schweizerische Bundesversammlung hat am 14. Dezember 2012 eine Revision des Asylgesetzes vom 26. Juni 1998 verabschiedet (AS 2013 4375), welche am 1. Februar 2014 in Kraft getreten ist. Gemäss Abs. 1 der entsprechenden Übergangsbestimmungen gilt für die im Zeitpunkt des Inkrafttretens hängigen Verfahren grundsätzlich das neue Recht.</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2015/3 E. 6.5.1, 2010/57 E. 2.3 S. 826 f.).</w:t>
      </w:r>
    </w:p>
    <w:p>
      <w:r>
        <w:rPr>
          <w:b/>
        </w:rPr>
        <w:t>E. 5.1</w:t>
      </w:r>
    </w:p>
    <w:p>
      <w:r>
        <w:t>In der Beschwerde wird in formeller Hinsicht eine Verletzung des Anspruchs auf rechtliches Gehör gerügt. Diese verfahrensrechtliche Rüge ist vorab zu prüfen, da sie allenfalls geeignet wäre, eine Kassation der vorinstanzlichen Verfügung zu bewirken (vgl. BVGE 2008/47; Entscheidungen und Mitteilungen der [vormaligen] Schweizerischen Asylrekurskommission [EMARK] 2004 Nr. 38; vgl. Kölz/Häner/Bertschi, Verwaltungsverfahren und Verwaltungsrechtspflege des Bundes; 3. Aufl. 2013, S. 403 f., m.w.H.).</w:t>
      </w:r>
    </w:p>
    <w:p>
      <w:r>
        <w:rPr>
          <w:b/>
        </w:rPr>
        <w:t>E. 5.1.1</w:t>
      </w:r>
    </w:p>
    <w:p>
      <w:r>
        <w:t>Dem Beschwerdeführer sei bezüglich der ihm in der angefochtenen Verfügung vorgeworfenen Widersprüche das rechtliche Gehör nicht gewährt worden. Er sei lediglich in zwei Einvernahmen (vgl. SEM-act. [...] und [...]) befragt worden (vgl. Beschwerde S. 8). Die Konfrontation mit Widersprüchen in den eigenen Aussagen ergibt sich zwar aus dem Grundsatz der Pflicht zur vollständigen und richtigen Abklärung des rechtserheblichen Sachverhalts, stellt jedoch keinen eigentlichen verfahrensrechtlichen Anspruch im Sinne des rechtlichen Gehörs dar (vgl. EMARK 1994/13). Die pauschal erhobene Rüge trifft nicht zu. So ergibt die Überprüfung der Protokolle des vorinstanzlichen Verfahrens, dass der Beschwerdeführer bezüglich der von ihm geltend gemachten Verfolgung im Bazar im Rahmen der Anhörung auf die Widersprüche zu seinen diesbezüglichen Aussagen in der BzP aufmerksam gemacht und ihm Gelegenheit gegeben wurde, sich dazu zu äussern (vgl. [...]). Dasselbe gilt für den Widerspruch bezüglich des Datums der Vermählung mit B._______ (vgl. a.a.O., [...]) und denjenigen in Bezug auf den Zeitpunkt, ab welchem ihm die von seinen Eltern geplante Verheiratung mit einer (...) bekannt gewesen sei (vgl. a.a.O., [...]). Der Beschwerdeführer wurde zu Beginn des Verfahrens zu seinen Personalien und summarisch zum Reiseweg und seinen Asylgründen befragt und danach vertieft zu seinen Asylgründen angehört. Dies entspricht dem gesetzlich festgelegten Verfahrensablauf (Art. 26 Abs. 2 und Art. 29 Abs. 1 AsylG). Da sich keine weiteren Abklärungen aufdrängten, wurde das Asylgesuch ohne ergänzende Instruktionsmassnahmen abgelehnt (Art. 40 Abs. 1 AsylG). In der Rechtsmitteleingabe wird denn auch kein konkreter Umstand angeführt, wonach weitere Abklärungen erforderlich gewesen wären.</w:t>
      </w:r>
    </w:p>
    <w:p>
      <w:r>
        <w:rPr>
          <w:b/>
        </w:rPr>
        <w:t>E. 5.1.2</w:t>
      </w:r>
    </w:p>
    <w:p>
      <w:r>
        <w:t>Nach dem Gesagten ergeben sich aus der angefochtenen Verfügung keine hinreichenden Anhaltspunkte, welche den Schluss zulassen würden, die Vorinstanz habe den Anspruch des Beschwerdeführers auf rechtliches Gehör verletzt.</w:t>
      </w:r>
    </w:p>
    <w:p>
      <w:r>
        <w:rPr>
          <w:b/>
        </w:rPr>
        <w:t>E. 5.2</w:t>
      </w:r>
    </w:p>
    <w:p>
      <w:r>
        <w:t>Die Überprüfung der Akten ergibt sodann, dass die vorstehend in E. 4.3 aufgeführten Kriterien der Glaubhaftmachung mit Blick auf die geltend gemachten Verfolgungsumstände nicht als erfüllt zu erachten sind. Deshalb ist zwecks Vermeidung von Wiederholungen vorweg auf die diesbezüglich zutreffenden Erwägungen in der angefochtenen Verfügung zu verweisen (vgl. Sachverhalt Bst. C). Daran vermögen die Ausführungen in der Rechtsmitteleingabe bezüglich der Fragen der Flüchtlingseigenschaft und der Gewährung von Asyl nichts zu ändern, zumal sich der Beschwerdeführer darin darauf beschränkt, sinngemäss an seinen bisherigen Vorbringen festzuhalten und explizit lediglich eine Verletzung seines Anspruchs auf rechtliches Gehör rügt, welche sich - wie in E. 5.1 dargelegt - als unbegründet erwiesen hat. Da die geltend gemachten Verfolgungsvorbringen nicht glaubhaft sind, erübrigt es sich, diese auf ihre asylrechtliche Relevanz hin zu prüfen.</w:t>
      </w:r>
    </w:p>
    <w:p>
      <w:r>
        <w:rPr>
          <w:b/>
        </w:rPr>
        <w:t>E. 5.3</w:t>
      </w:r>
    </w:p>
    <w:p>
      <w:r>
        <w:t>In Würdigung der gesamten Umstände und Vorbringen des Beschwerdeführers kann eine weitergehende Prüfung der Ausführungen in der Beschwerde unterbleiben, da eine solche Prüfung an der vorgenommenen Würdigung des Sachverhalts nichts zu ändern vermag. Die Vorinstanz hat demnach das Asylgesuch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fremdenpolizeiliche Aufenthaltsbewilligung noch einen Anspruch auf Erteilung einer solchen. Der Umstand, dass ein Härtefallgesuch eingereicht wurde (vgl. oben Bst. H), hat vorliegend keine wesentliche Bedeutung, da kein Anspruch auf Erteilung einer solchen Bewilligung besteht. Die Wegweisung wurde demnach zu Recht angeordnet (Art. 44 AsylG; vgl. BVGE 2014/37 E. 4.4, 2009/50 E. 9 S. 733 m.w.H.).</w:t>
      </w:r>
    </w:p>
    <w:p>
      <w:r>
        <w:rPr>
          <w:b/>
        </w:rPr>
        <w:t>E. 7</w:t>
      </w:r>
    </w:p>
    <w:p>
      <w:r>
        <w:t>Ist der Vollzug der Wegweisung nicht zulässig, nicht zumutbar oder nicht möglich, so regelt das Bundesamt das Anwesenheitsverhältnis nach den gesetzlichen Bestimmungen über die vorläufige Aufnahme von Ausländern (Art. 44 AsylG; Art. 83 Abs. 1 AuG [SR 142.20]). Beim Geltendmachen von Wegweisungsvollzugshindernissen gilt gemäss Praxis des Bundesverwaltungsgerichts der gleiche Beweisstandard wie bei der Prüfung der Flüchtlingseigenschaft; das heisst, sie sind zu beweisen, wo der strikte Beweis möglich ist, und andernfalls wenigstens glaubhaft zu machen (vgl. BVGE 2014/26 E. 7.7.4, 2011/24 E. 10.2 m.w.H.).</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Pakistan ist demnach unter dem Aspekt von Art. 5 AsylG rechtmässig.</w:t>
      </w:r>
    </w:p>
    <w:p>
      <w:r>
        <w:rPr>
          <w:b/>
        </w:rPr>
        <w:t>E. 7.1.2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in sein Heimatland eine menschenrechtswidrige Behandlung drohen, zumal es ihm - wie oben unter Ziff. 5 der Erwägungen festgehalten wurde - nicht gelungen ist, eine aktuelle Verfolgungssituation darzutun beziehungsweise die von ihm behauptete Ehe mit einer Sunnitin und die daraus abgeleitete Verfolgung glaubhaft zu machen.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2014/26 E. 7). In Bezug auf Pakistan herrscht trotz teilweise angespannter Lage keine Situation allgemeiner Gewalt. Zudem sprechen keine individuellen Gründe gegen die Zumutbarkeit des Wegweisungsvollzugs. Wie das SEM in der angefochtenen Verfügung zutreffend ausführte, handelt es sich beim Beschwerdeführer um einen jungen gesunden Mann, welcher eine schulische Grundausbildung absolviert und in der Folge im (...) seines Vaters mitgearbeitet hat. Somit stammt er - so das SEM weiter zutreffend - nicht nur aus guten finanziellen Verhältnissen, sondern verfügt auch über Arbeitserfahrung, die es ihm ermöglicht, künftig seine Lebensgrundlage selbständig zu bestreiten. Da dem Beschwerdeführer - entgegen den Ausführungen in der Rechtsmitteleingabe - die geltend gemachten Probleme mit den Familienangehörigen nicht geglaubt werden können, ist mit der Vorinstanz davon auszugehen, dass er mit seinen Eltern und Geschwistern auch heute noch über ein familiäres Netzwerk in Pakistan verfügt, welches ihm bei seiner Wiedereingliederung behilflich sein kann. Sodann wird die Beschwerde von B._______ und ihren Kindern mit Urteil des Bundesverwaltungsgerichts gleichen Datums abgewiesen und ist der Wegweisungsvollzug zu koordinieren. Nach dem Gesagten kann der Vollzug der Wegweisung - entgegen der in der Rechtsmitteleingabe vertretenen Auffassung - sowohl in genereller als auch in individueller Hinsicht als zumutbar bezeichnet werden.</w:t>
      </w:r>
    </w:p>
    <w:p>
      <w:r>
        <w:rPr>
          <w:b/>
        </w:rPr>
        <w:t>E. 7.3</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7.4</w:t>
      </w:r>
    </w:p>
    <w:p>
      <w:r>
        <w:t>Insgesamt hat das SEM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grundsätzlich dem Beschwerdeführer aufzuerlegen (Art. 63 Abs. 1 und 5 VwVG). Da das Bundesverwaltungsgericht dem Beschwerdeführer mit Zwischenverfügung vom 9. Dezember 2015 die unentgeltliche Rechtspflege gemäss Art. 65 Abs. 1 VwVG gewährt und sich an den diesbezüglichen Voraussetzungen nichts geändert hat, sind keine Verfahrenskosten aufzuerlegen.</w:t>
      </w:r>
    </w:p>
    <w:p>
      <w:r>
        <w:rPr>
          <w:b/>
        </w:rPr>
        <w:t>E. 9.2</w:t>
      </w:r>
    </w:p>
    <w:p>
      <w:r>
        <w:t>Aufgrund der ebenfalls mit Zwischenverfügung vom 9. Dezember 2015 angeordneten Bestellung des Rechtsvertreters als amtlicher Rechtsbeistand gemäss Art. 110a Abs. 1 und 3 AsylG ist diesem ein entsprechendes Honorar auszurichten (vgl. für die Grundsätze der Bemessung des amtlichen Honorars Art. 8-11 und Art. 12 des Reglements über die Kosten und Entschädigungen vor dem Bundesverwaltungsgericht vom 21. Februar 2008 [VGKE, SR 173.320.2]), wobei für Rechtsanwälte praxisgemäss ein Stundenansatz von Fr. 200.- bis 220.- anzuwenden ist.</w:t>
      </w:r>
    </w:p>
    <w:p>
      <w:r>
        <w:rPr>
          <w:b/>
        </w:rPr>
        <w:t>E. 9.3</w:t>
      </w:r>
    </w:p>
    <w:p>
      <w:r>
        <w:t>Der amtliche Rechtsbeistand hat keine Kostennote eingereicht. Auf entsprechende Nachforderung kann verzichtet werden, da sich die Vertretungskosten aufgrund der Akten abschätzen lassen (Art. 14 Abs. 2 VGKE). Unter Berücksichtigung der massgebenden Berechnungsfaktoren und des Umstands, dass die Rechtsmitteleingabe gemeinsam für den Beschwerdeführer und die Lebenspartnerin mit deren Kindern eingereicht wurde, wobei inhaltlich im Wesentlichen auf das Asylgesuch von B._______ eingegangen wurde, ist das amtliche Honorar auf Fr. 500.- (inklusive Auslagen und Mehrwertsteuer) festzusetzen und Dr. iur. René Bussien, Rechtsanwalt, (...),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