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D-787/2011 vom 7. Februar 2011</w:t>
      </w:r>
    </w:p>
    <w:p>
      <w:r>
        <w:t>Bundesverwaltungsgericht, 2011-02-07, DE</w:t>
      </w:r>
    </w:p>
    <w:p>
      <w:r>
        <w:rPr>
          <w:b/>
        </w:rPr>
        <w:t xml:space="preserve">Quelle: </w:t>
      </w:r>
      <w:r>
        <w:t>https://mcp.opencaselaw.ch/entscheid/bvger_D-787_2011</w:t>
      </w:r>
    </w:p>
    <w:p>
      <w:r>
        <w:t>FR: TAF D-787/2011 du 7 février 2011</w:t>
      </w:r>
    </w:p>
    <w:p>
      <w:r>
        <w:t>IT: TAF D-787/2011 del 7 febbraio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Dazu gehören Verfügungen des BFM auf dem Gebiet des Asyls; das Bundesverwaltungsgericht entscheidet in diesem Bereich endgültig (Art. 105 des Asylgesetzes vom 26. Juni 1998 [AsylG, SR 142.31]; Art. 83 Bst. c Ziff. 1 und Bst. d Ziff. 1 des Bundesgerichtsgesetzes vom 17. Juni 2005 [BGG, SR 173.110]). Das Verfahren richtet sich nach dem VwVG, dem VGG und dem BGG, soweit das AsylG nichts anderes bestimmt (Art. 37 VGG und Art. 6 AsylG).</w:t>
      </w:r>
    </w:p>
    <w:p>
      <w:r>
        <w:rPr>
          <w:b/>
        </w:rPr>
        <w:t>E. 1.2</w:t>
      </w:r>
    </w:p>
    <w:p>
      <w:r>
        <w:t>Vorliegend wurde der Entscheid des BFM via die Schweizer Bot­schaft am 23. Dezember 2010 an den Beschwerdeführer versandt (vgl. Sachverhalt Bst. D). Da aus dem Rückschein kein Zustellungsdatum ersichtlich ist, steht vorliegend der Zeitpunkt der Eröffnung der an­gefochtenen Verfügung nicht fest. Zudem ist auf dem Umschlag der Beschwerdeeingabe der Stempel der sri-lankischen Post nicht lesbar und befinden sich darauf keine Angaben darüber, wann die an das Bundesverwaltungsgericht gerichtete Eingabe der schweizerischen Post übergeben wurde, woraus allenfalls die Wahrung der Rechtsmittelfrist errechnet werden könnte. Da die Beweislast für die Zustellung an die Partei der eröffnenden Behörde obliegt (vgl. André Moser/Michael Beusch/Lorenz Kneubühler, Prozessieren vor dem Bundesverwaltungs­gericht, Basel 2008, Rz. 3.150, S. 166 f.), ist nach dem Gesagten zugunsten des Beschwerdeführers davon auszugehen, dass die am 1. Februar 2011 beim Bundesverwaltungsgericht eingetroffene Beschwerde (vgl. Sach­verhalt Bst. E) rechtzeitig erfolgt ist.</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108 AsylG sowie Art. 105 AsylG i.V.m. Art. 37 VGG und Art. 48 Abs. 1 und Art. 52 VwVG). Auf die (vermutungsweise) frist- und formgerecht eingereichte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4.1</w:t>
      </w:r>
    </w:p>
    <w:p>
      <w:r>
        <w:t>Das Bundesamt kann ein im Ausland gestelltes Asylgesuch ab­lehnen, wenn die asylsuchende Person keine Verfolgung glaubhaft machen kann oder ihr die Aufnahme in einem Drittstaat zugemutet werden kann (Art. 3, Art. 7 und Art. 52 Abs. 2 AsylG). Gemäss Art. 20 Abs. 2 AsylG bewilligt das Bundesamt einer asylsuchenden Person die Einreise zur Abklärung des Sachverhaltes, wenn ihr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zutreffende Praxis gemäss Ent­scheidungen und Mitteilungen der Schweizerischen Asylrekurskommission [EMARK] 1997 Nr. 15, insbesondere S. 131 ff., die angesichts bloss redaktioneller Änderungen bei der letzten Totalrevision des Asylgesetzes nach wie vor Gültigkeit hat). Ausschlaggebend für die Erteilung der Einreisebewilligung ist dabei die Schutzbedürftigkeit der betreffenden Person (vgl. EMARK 1997 Nr. 15 E. 2c S. 130), mithin die Prüfung der Fragen, ob eine Gefährdung im Sinne von Art. 3 AsylG glaubhaft gemacht wird und ob der Verbleib am Aufenthaltsort für die Dauer der Sachverhaltsabklärung zugemutet werden kann.</w:t>
      </w:r>
    </w:p>
    <w:p>
      <w:r>
        <w:rPr>
          <w:b/>
        </w:rPr>
        <w:t>E. 5.1</w:t>
      </w:r>
    </w:p>
    <w:p>
      <w:r>
        <w:t>Die Schweiz gewährt Flüchtlingen unter Vorbehalt von Ausschlussgründen auf Gesuch hin Asyl (Art. 2 Abs. 1 und Art. 49 AsylG). Wer um Asyl nachsucht, muss die Flüchtlingseigenschaft nachweisen oder zu­mindest glaubhaft machen (Art. 7 Abs. 1 AsylG). Die Flücht­lingseigenschaft erfüllen Personen, welche in ihrem Heimatstaat oder im Land, wo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5.2</w:t>
      </w:r>
    </w:p>
    <w:p>
      <w:r>
        <w:t>Die im Gesetz so definierte Flüchtlingseigenschaft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Entscheide des Schweizerischen Bundesverwaltungsgerichts [BVGE] 2008/4 E. 5.2 S. 37; EMARK 2006 Nr. 18 E. 7 und 8 S. 190 ff.; EMARK 2005 Nr. 21 E. 7 S. 193). Aufgrund der Subsidiarität des flüchtlingsrechtlichen Schutzes setzt die Zu­erkennung der Flüchtlingseigenschaft im Weiteren voraus, dass die betroffene Person in ihrem Heimatland keinen ausreichenden Schutz finden kann (vgl. EMARK 2005 Nr. 21 a.a.O.).</w:t>
      </w:r>
    </w:p>
    <w:p>
      <w:r>
        <w:rPr>
          <w:b/>
        </w:rPr>
        <w:t>E. 6.1</w:t>
      </w:r>
    </w:p>
    <w:p>
      <w:r>
        <w:t>Das BFM führte zur Begründung seiner Verfügung im Wesent­lichen Folgendes aus: Angesichts der geltend gemachten Schikanen und Einschüchterungsversuche sei die Angst des Beschwerdeführers vor weiteren Verfolgungsmassnahmen und dessen Wunsch nach einer Ausreise in die Schweiz nachvollziehbar. Indessen erwiesen sich diese Befürchtungen bei einer objektiven Betrachtungsweise als nicht begründet im Sinne des AsylG. Die Anforderungen an eine Einreisebewilligung in die Schweiz seien hoch. Gemäss ständiger Praxis der schweizerischen Asylbehörden könne eine solche Bewilligung nur erteilt werden, wenn mit überwiegender Wahrscheinlichkeit von einer akuten Gefährdung der gesuchstellenden Person bei einem Verbleib in Sri Lanka ausgegangen werden müsse. Indes verfüge der Beschwerdeführer gemäss den Akten über kein ausreichend politisches Profil, welches zum jetzigen Zeitpunkt mit erheblicher Wahrscheinlichkeit zu einreiserelevanten Schwierigkeiten führen könnte. Er diene als (...) einer staatlichen Schule und seine beiden (...) könnten den regulären Schuldienst besuchen. Auch aufgrund dieser Fakten könne das BFM ein menschenunwürdiges und unzumutbares Leben für den Beschwerdeführer in Sri Lanka aktuell nicht feststellen. Würde dieser tatsächlich ernsthaft verdächtigt, eine Gefahr für die Sicherheit des sri-lankischen Staates darzustellen, so wäre er in der Vergangenheit inhaftiert worden, zumal gemäss Erkenntnissen des BFM gegen Personen, welche für die öffentliche Sicherheit eine Bedrohung darstellen, konsequent behördlicherseits vorgegangen werde, indem strafrechtliche Untersuchungsmassnahmen eingeleitet würden. Dies sei bezüglich des Beschwerdeführers jedoch nicht der Fall. Vor diesem Hintergrund vermöchte die geltend gemachte Furcht vor weiteren Massnahmen durch die staatlichen Sicherheitskräfte eine Einreise in die Schweiz zum heutigen Zeitpunkt nicht zu begründen. Diese Vorbringen seien daher nicht einreiserelevant. Daran vermöchten auch die zu den Akten gereichten Dokumente nichts zu ändern, zumal sie lediglich die Vorbringen des Beschwerdeführers stützten, deren Glaubhaftigkeit nicht in Frage gestellt werde.</w:t>
      </w:r>
    </w:p>
    <w:p>
      <w:r>
        <w:rPr>
          <w:b/>
        </w:rPr>
        <w:t>E. 6.2</w:t>
      </w:r>
    </w:p>
    <w:p>
      <w:r>
        <w:t>Die Beschwerde beschränkt sich sinngemäss auf eine Wiederholung der bisherigen Vorbringen. Zusätzlich wird ausgeführt, im (...) seien drei unbekannte Personen zum Haus des Beschwerdeführers gekommen und hätten diesen bedroht. Er habe sich diesbezüglich an das Amt des Hohen Flüchtlingskommissars der Vereinten Nationen (UNHCR) gewandt. In letzter Zeit seien in der Nordprovinz vermehrt Personen aus dem (...) von unbekannter Täterschaft entführt und getötet worden.</w:t>
      </w:r>
    </w:p>
    <w:p>
      <w:r>
        <w:rPr>
          <w:b/>
        </w:rPr>
        <w:t>E. 6.3</w:t>
      </w:r>
    </w:p>
    <w:p>
      <w:r>
        <w:t>Eine Überprüfung der Akten ergibt, dass sich die Erwägungen in der angefochtenen Verfügung als zutreffend erweisen. Mithin wurden die Vorbringen des Beschwerdeführers zu Recht als den An­forderungen an eine Verfolgung im Sinne von Art. 3 AsylG nicht ge­nügend qualifiziert. Diesbezüglich wird auf E. 6.1 verwiesen. Daran vermögen die zusätzlichen Ausführungen in der Beschwerde nichts zu ändern. Das Bundesverwaltungsgericht geht mit der Vorinstanz darin einig, dass die Furcht des Beschwerdeführers vor weiteren Massnahmen durch die staatlichen Sicherheitskräfte objektiv nicht begründet ist, zumal er aktuell als (...) einer staatlichen Schule fungiert. Was die geltend gemachten Delikte gegenüber Angehörigen des Bildungssektors anbelangt, ist die Schutzfähigkeit des sri-lankischen Staates grundsätzlich zu bejahen. Mithin ist auch die asylrechtliche Relevanz solcher Delikte zu verneinen.</w:t>
      </w:r>
    </w:p>
    <w:p>
      <w:r>
        <w:rPr>
          <w:b/>
        </w:rPr>
        <w:t>E. 6.4</w:t>
      </w:r>
    </w:p>
    <w:p>
      <w:r>
        <w:t>Zusammenfassend ist festzustellen, dass es dem Beschwerde­führer nicht gelungen ist, eine aktuelle Verfolgung im Sinne von Art. 3 AsylG darzulegen. Es erübrigt sich, auf weitere Vorbringen in der Be­schwerde einzugehen, da diese keine neuen Begründungselemente enthalten, welche geeignet wären, die Einschätzung des BFM ent­scheidend zu relativieren. Das BFM hat demnach dem Beschwerde­führer zu Recht die Einreise in die Schweiz verweigert beziehungs­weise dessen Asylgesuch abgelehnt.</w:t>
      </w:r>
    </w:p>
    <w:p>
      <w:r>
        <w:rPr>
          <w:b/>
        </w:rPr>
        <w:t>E. 7</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8</w:t>
      </w:r>
    </w:p>
    <w:p>
      <w:r>
        <w:t>Bei diesem Ausgang des Verfahrens wären dessen Kosten grundsätzlich dem Beschwerdeführer aufzuerlegen (Art. 63 Abs. 1 VwVG). Aus ver­waltungsökonomischen Gründen und in Anwendung von Art. 63 Abs. 1 in fine VwVG und Art. 2 und 3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