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D-7868/2006 vom 23. November 2009</w:t>
      </w:r>
    </w:p>
    <w:p>
      <w:r>
        <w:t>Bundesverwaltungsgericht, 2009-11-23, FR</w:t>
      </w:r>
    </w:p>
    <w:p>
      <w:r>
        <w:rPr>
          <w:b/>
        </w:rPr>
        <w:t xml:space="preserve">Quelle: </w:t>
      </w:r>
      <w:r>
        <w:t>https://mcp.opencaselaw.ch/entscheid/bvger_D-7868_2006</w:t>
      </w:r>
    </w:p>
    <w:p>
      <w:r>
        <w:t>FR: TAF D-7868/2006 du 23 novembre 2009</w:t>
      </w:r>
    </w:p>
    <w:p>
      <w:r>
        <w:t>IT: TAF D-7868/2006 del 23 novembre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Tribunal prononce la séparation de la cause de A._______ de celle des autres membres de sa famille, lesquels font l'objet d'un arrêt distinct rendu ce jour, dans la mesure où les époux sont séparés et agissent par le biais de mandataires différents.</w:t>
      </w:r>
    </w:p>
    <w:p>
      <w:r>
        <w:rPr>
          <w:b/>
        </w:rPr>
        <w:t>E. 1.4</w:t>
      </w:r>
    </w:p>
    <w:p>
      <w:r>
        <w:t>L'intéressé a qualité pour recourir. Présenté dans la forme et le délai prescrits par la loi, le recours est recevable (art. 48 al. 1, 50, dans sa version antérieure au 1er janvier 2007, s'agissant d'un recours déposé avant cette date, et 52 PA).</w:t>
      </w:r>
    </w:p>
    <w:p>
      <w:r>
        <w:rPr>
          <w:b/>
        </w:rPr>
        <w:t>E. 2.1</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5.2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Jurisprudence et informations de la Commission suisse de recours en matière d'asile [JICRA] 1999 n° 28 p. 170 et jurisp. citée; 1998 n° 22 p. 191).</w:t>
      </w:r>
    </w:p>
    <w:p>
      <w:r>
        <w:rPr>
          <w:b/>
        </w:rPr>
        <w:t>E. 5.3</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6.1</w:t>
      </w:r>
    </w:p>
    <w:p>
      <w:r>
        <w:t>En l'espèce, A._______ ne souffre pas d'affections graves au point de devoir considérer qu'en cas de renvoi, son état de santé se dégraderait au point de mettre rapidement et certainement son existence en danger. Les soins qui lui seraient nécessaires pourraient en effet lui être dispensés. Sa maladie ne l'empêcherait pas d'exercer une activité lucrative lui permettant d'assurer ses besoins. Séparé de son épouse, il pourrait en outre à nouveau compter sur le soutien de sa famille (à considérer qu'avant cette séparation, il ne le pouvait plus). Toutefois, force est de constater, au vu du dossier, que A._______ entretient toujours avec sa descendance une relation familiale. Ses troubles dépressifs semblent d'ailleurs, à la lecture du dernier rapport médical produit, résulter du risque de devoir se séparer définitivement de ses enfants mineurs. Or, par décision de ce jour, ceux-ci ont été mis au bénéfice de l'admission provisoire en Suisse. En application du principe de l'unité de la famille (cf. art. 44 al. 1 in fine LAsi), selon lequel l'admission provisoire prononcée en faveur de l'un des membres d'une famille s'étend à tous les autres membres (cf. JICRA 1995 n° 24 consid. 10 et 11 p. 230 ss), l'intéressé doit également être mis au bénéfice de cette mesure.</w:t>
      </w:r>
    </w:p>
    <w:p>
      <w:r>
        <w:rPr>
          <w:b/>
        </w:rPr>
        <w:t>E. 6.2</w:t>
      </w:r>
    </w:p>
    <w:p>
      <w:r>
        <w:t>En l'absence de motifs d'exclusion au sens de l'art. 83 al. 7 LEtr, l'ODM est ainsi invité à prononcer l'admission provisoire de A._______.</w:t>
      </w:r>
    </w:p>
    <w:p>
      <w:r>
        <w:rPr>
          <w:b/>
        </w:rPr>
        <w:t>E. 7</w:t>
      </w:r>
    </w:p>
    <w:p>
      <w:r>
        <w:t>Le recours doit donc être admis en tant qu'il concerne A._______. Les chiffres 4 et 5 de la décision de l'ODM du 3 mars 2005 sont annulés.</w:t>
      </w:r>
    </w:p>
    <w:p>
      <w:r>
        <w:rPr>
          <w:b/>
        </w:rPr>
        <w:t>E. 8.1</w:t>
      </w:r>
    </w:p>
    <w:p>
      <w:r>
        <w:t>Vu l'issue de la cause, il n'est pas perçu de frais (cf. art. 63 al. 1 PA)</w:t>
      </w:r>
    </w:p>
    <w:p>
      <w:r>
        <w:rPr>
          <w:b/>
        </w:rPr>
        <w:t>E. 8.2</w:t>
      </w:r>
    </w:p>
    <w:p>
      <w:r>
        <w:t>Le recourant ayant gain de cause, il a droit à des dépens (cf. art. 64 al. 1 PA et art. 7 al. 1 du règlement du 21 février 2008 concernant les frais, dépens et indemnités fixés par le Tribunal administratif fédéral (FITAF, RS 173.320.2)), calculés sur la base des art. 8 ss FITAF. Au vu de la note d'honoraires versée au dossier, prenant en considération les activités essentielles menées par le mandataire du recourant et tenant compte de la disjonction des causes prononcée, le montant de ces dépens est arrêté à Fr. 400.-.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