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D-7857/2009 vom 5. Januar 2010</w:t>
      </w:r>
    </w:p>
    <w:p>
      <w:r>
        <w:t>Bundesverwaltungsgericht, 2010-01-05, DE</w:t>
      </w:r>
    </w:p>
    <w:p>
      <w:r>
        <w:rPr>
          <w:b/>
        </w:rPr>
        <w:t xml:space="preserve">Quelle: </w:t>
      </w:r>
      <w:r>
        <w:t>https://mcp.opencaselaw.ch/entscheid/bvger_D-7857_2009</w:t>
      </w:r>
    </w:p>
    <w:p>
      <w:r>
        <w:t>FR: TAF D-7857/2009 du 5 janvier 2010</w:t>
      </w:r>
    </w:p>
    <w:p>
      <w:r>
        <w:t>IT: TAF D-7857/2009 del 5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auf den in der Rechtsmitteleingabe angeführten Einwand (vgl. S. 6) einzugehen, der Beschwerdeführer habe sich anlässlich der Anhörung einer überaus kritischen, voreingenommenen Befragungsperson gegenüber gesehen, welche ihn mehrmals nach der Übersetzung eines ersten Teils seiner Antwort bereits mit der nächsten Frage konfrontiert habe, ohne ihn die vorangehende Frage ausführlich beantworten zu lassen. Der Beschwerdeführer habe sich während der ganzen Befragung verunsichert gefühlt, da er sich des Eindrucks nicht habe erwehren können, man glaube ihm seine Schilderungen nicht. Zudem habe er nachträglich realisiert, dass nicht sämtliche seiner Antworten übersetzt worden seien.</w:t>
      </w:r>
    </w:p>
    <w:p>
      <w:r>
        <w:rPr>
          <w:b/>
        </w:rPr>
        <w:t>E. 5.2</w:t>
      </w:r>
    </w:p>
    <w:p>
      <w:r>
        <w:t>Zutreffend ist, dass der Beschwerdeführer im Verlaufe der Befragung (vgl. A7/10 S. 5, Antwort auf Frage 35) erwähnte, er habe eine der Fragen noch nicht gut beantwortet und der Befrager darauf sagte, der Beschwerdeführer könne das später noch machen. Am Schluss der Befragung (vgl. A7/10 S. 7 Antwort auf Frage 51) holte der Beschwerdeführer die nach seiner Ansicht noch ausstehende Beantwortung nach. Andere Hinweise, welche die Darstellung des Beschwerdeführers stützen würden, lassen sich dem Befragungsprotokoll nicht entnehmen. Der Beschwerdeführer hat während der Befragung keine Einwände gegen die Anhörung vorgebracht und am Ende derselben das Protokoll vorbehaltlos unterzeichnet, ein Umstand, den er sich entgegenhalten lassen muss. Ebenso wenig hat die zur Beobachtung eines korrekten Verfahrens anwesende Hilfswerkvertreterin auf dem für sie bestimmten Formular Einwendungen gegen die Anhörung, namentlich die Art und Weise der Befragung erhoben oder sonst irgendwelche Unregelmässigkeiten festgestellt. Im Übrigen legt der Beschwerdeführer auch nicht dar, inwiefern seine angeblich nicht protokollierte beziehungsweise übersetzte Aussage von Belang wäre.</w:t>
      </w:r>
    </w:p>
    <w:p>
      <w:r>
        <w:rPr>
          <w:b/>
        </w:rPr>
        <w:t>E. 5.3</w:t>
      </w:r>
    </w:p>
    <w:p>
      <w:r>
        <w:t>Die Vorbringen in der Rechtsmitteleingabe sind sodann nicht geeignet, eine Änderung der vorinstanzlichen Verfügung herbeizuführen. Entgegen der Darstellung in der Beschwerdeschrift lässt sich die Schilderung von selbst erlebten Festnahmen mit den rudimentären Aussagen des Beschwerdeführers nicht in Einklang bringen. Vielmehr hat die Vorinstanz zur Recht festgehalten, die Angaben des Beschwerdeführers seien ausweichend und detailarm. Ebenfalls nicht beizupflichten ist dem Beschwerdeführer darin, dass er im Zeitpunkt der Anhörung, nämlich am 10. November 2009, aufgrund des "langen" Zeitablaufs seit der letzten Verhaftung nicht mehr sagen konnte, um welchen Wochentag es sich gehandelt habe. Bei einer Zeitspanne von weniger als eineinhalb Monaten kann durchaus von einem Studenten der (...) erwartet werden, dass er ein einschneidendes Ereignis noch konkret einzuordnen vermag. Der Beschwerdeführer hat dies jedoch, wie sich aus dem Protokoll ergibt (vgl. A7/10 S. 3), nicht einmal ansatzweise versucht. Sodann wird die in der Beschwerdeschrift kritisierte vorinstanzliche Annahme, in der Regel versuche man zunächst, eine innerstaatliche Aufenthaltsalternative zu realisieren, vom Beschwerdeführer selbst bestätigt, indem er ausführen lässt, er habe sich so lange wie möglich in der Nähe seiner Familie aufhalten wollen (S. 6). Insgesamt ist mit dem Bundesamt davon auszugehen, die Vorbringen des Beschwerdeführers seien nicht glaubhaft. Da nicht ersichtlich ist, inwiefern das vom Beschwerdeführer angekündigte (Beschwerdeschrift S. 6) Bestätigungsschreiben, dessen Beweiskraft als nicht amtliches Dokument ohnehin beschränkt wäre, etwas am Gesagten zu ändern vermöchte, ist auf die Ansetzung einer Nachfrist zu verzichten, weshalb das Rechtsbegehren, es sei eine Nachfrist von 30 Tagen für die Nachreichung von Dokumenten aus dem Ausland zu gewähren, abzuweisen ist (vgl. Entscheidungen und Mitteilungen der Schweizerischen Asylrekurskommission [EMARK] 2003 Nr. 13 E. 4c S. 84). Insbesondere macht der Beschwerdeführer selber nicht geltend, er sei jeweils wegen seiner Tätigkeit für die DTP festgenommen worden.</w:t>
      </w:r>
    </w:p>
    <w:p>
      <w:r>
        <w:rPr>
          <w:b/>
        </w:rPr>
        <w:t>E. 5.4</w:t>
      </w:r>
    </w:p>
    <w:p>
      <w:r>
        <w:t>Was auf Beschwerdeebene sodann zur Militärdienstpflicht ausgeführt wird, ist nicht geeignet, die vom BFM verneinte Asylrelevanz zu widerlegen. Vielmehr geht der Beschwerdeführer mit der Vorinstanz davon aus, die Einteilung in eine Truppeneinheit erfolge nach dem Zufallsprinzip. Mithin hielt die Vorinstanz zu Recht fest, ein Zusammenhang zwischen Stationierungsort und Ethnie lasse sich nicht herstellen.</w:t>
      </w:r>
    </w:p>
    <w:p>
      <w:r>
        <w:rPr>
          <w:b/>
        </w:rPr>
        <w:t>E. 5.5</w:t>
      </w:r>
    </w:p>
    <w:p>
      <w:r>
        <w:t>Zusammenfassend ist festzuhalten, dass die geltend gemachten Verfolgungsvorbringen den Anforderungen an die Glaubhaftigkeit beziehungsweise an die Asylrelevanz im Sinne von Art. 3 und 7 AsylG nicht genügen. Die Beweismitteleingaben in Bezug auf das Verbot der DTP durch das türkische Verfassungsgericht führen zu keinem anderen Ergebnis. Es gelingt dem Beschwerdeführer insgesamt nicht, die Flüchtlingseigenschaft nachzuweisen oder zumindest glaubhaft zu machen, weshalb das Bundesamt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individuelle Gründe lassen auf eine konkrete Gefährdung im Falle einer Rückkehr schliessen. Beim Beschwerdeführer handelt es sich um einen jungen - und soweit aus den Akten ersichtlich - gesunden Mann, der über ein familiäres Beziehungsnetz im Heimatstaat (mehrere Geschwister [vgl. A1/11 S. 3]) verfügt. In der Beschwerdeschrift werden dazu denn auch keine Einwände geltend gemacht.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Ergehen des vorliegenden Urteils wird das Gesuch um Erlass des Kostenvorschusses gegenstandslos. Aufgrund vorstehender Erwägungen erweisen sich die Beschwerdebegehren als aussichtslos. Das Gesuch des Beschwerdeführers um unentgeltliche Rechtspflege und Beiordnung eines unentgeltichen Rechtsvertreters im Sinne von Art. 65 Abs. 1 und 2 VwVG ist damit - unabhängig von einer allfälligen prozessualen Bedürftigkeit des Beschwerdeführers -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