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D-7853/2008 vom 1. Juli 2010</w:t>
      </w:r>
    </w:p>
    <w:p>
      <w:r>
        <w:t>Bundesverwaltungsgericht, 2010-07-01, DE</w:t>
      </w:r>
    </w:p>
    <w:p>
      <w:r>
        <w:rPr>
          <w:b/>
        </w:rPr>
        <w:t xml:space="preserve">Quelle: </w:t>
      </w:r>
      <w:r>
        <w:t>https://mcp.opencaselaw.ch/entscheid/bvger_D-7853_2008</w:t>
      </w:r>
    </w:p>
    <w:p>
      <w:r>
        <w:t>FR: TAF D-7853/2008 du 1 juillet 2010</w:t>
      </w:r>
    </w:p>
    <w:p>
      <w:r>
        <w:t>IT: TAF D-7853/2008 del 1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Anerkennung der Flüchtlingseigenschaft setzt zudem voraus, dass die betroffene Person landesweiter Verfolgung ausgesetzt ist und sich nicht in einem anderen Teil ihres Heimatstaats in Schutz bringen kann (vgl. Entscheidungen und Mitteilungen der Schweizerischen Asylrekurskommission [EMARK] 2006 Nr. 18).</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macht ethnisch motivierte Übergriffe von Seiten privater Dritter geltend. Aufgrund der Akten erweisen sich die vorinstanzlichen Erwägungen, wonach die Asylrelevanz der geltend gemachten Verfolgungsvorbringen zu verneinen sei, als zutreffend. Zur Vermeidung von Wiederholungen kann daher auf die nicht zu beanstandenden Ausführungen des BFM in der angefochtenen Verfügung verwiesen werden. Die Argumente in der Rechtsmitteleingabe sind nicht geeignet, eine Änderung der angefochtenen Verfügung hinsichtlich der Flüchtlingseigenschaft und des Asyls herbeizuführen. Der Beschwerdeführer, der eine serbische Identitätskarte einreichte, ist aufgrund der Aktenlage als Staatsangehöriger der Republik Kosovo zu betrachten, wobei er infolge der serbischen Abstammung und Geburt auf ehemaligem Staatsgebiet der Republik Serbien gemäss serbischem Gesetz (Nr. 135/04, 21. Dezember 2004) auch über die serbische Staatsangehörigkeit verfügt (vgl. das zur Publikation vorgesehene 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D-7561/2008 a.a.O. E. 6.5.1). Der Beschwerdeführer kann sich aufgrund seiner serbischen Staatszugehörigkeit in Serbien niederlassen, und es liegen auch keine Anhaltspunkte dafür vor, dass ihm dort asylrechtlich relevante Verfolgung drohen würde. Zudem wurde in der angefochtenen Verfügung in zutreffender Weise darauf hingewiesen, dass für Serben aus den südlichen Bezirken Kosovos grundsätzlich eine innerstaatliche Fluchtalternative im Norden des Landes besteht, die die Flüchtlingseigenschaft - und damit auch die Asylgewährung - ausschliesst. Das BFM hat das Asylgesuch des Beschwerdeführers damit zu Recht abgelehnt.</w:t>
      </w:r>
    </w:p>
    <w:p>
      <w:r>
        <w:rPr>
          <w:b/>
        </w:rPr>
        <w:t>E. 5</w:t>
      </w:r>
    </w:p>
    <w:p>
      <w:r>
        <w:t>Lehnt das Bundesamt das Asylgesuch ab oder tritt es darauf nicht ein, so verfügt es in der Regel die Wegweisung aus der Schweiz und ordnet den Vollzug an (Art. 44 Abs. 1 AsylG). Da der Beschwerdeführer weder über eine ausländerrechtliche Aufenthaltsbewilligung noch über einen Anspruch auf Erteilung einer solchen verfügt, wurde die Wegweisung zu Recht angeordnet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105 i.V.m. Art. 44 Abs. 2 AsylG). In diesem Verfahren wäre dann der Wegweisungsvollzug vor dem Hintergrund sämtlicher Vollzugshindernisse von Amtes wegen nach Massgabe der in diesem Zeitpunkt herrschenden Verhältnisse zu prüfen.</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Wie die Vorinstanz zu Recht festgestellt hat, erscheint der Vollzug der Wegweisung des aus C._______ in der Gemeinde F._______ im Süden Kosovos stammenden Beschwerdeführers dorthin nicht zumutbar, zumal die Wahrscheinlichkeit einer konkreten Gefährdung für ethnische Serben ausserhalb ihrer Enklaven im Norden Kosovos weiterhin nicht ausgeschlossen werden kann. Nachfolgend ist deshalb zu prüfen, ob für den Beschwerdeführer eine Zufluchtsalternative im Norden Kosovos oder in Serbien besteht.</w:t>
      </w:r>
    </w:p>
    <w:p>
      <w:r>
        <w:rPr>
          <w:b/>
        </w:rPr>
        <w:t>E. 6.2.2</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in Kosovo nach Serbien ist grundsätzlich zumutbar (vgl. D-7561/2008 a.a.O. E. 8.3.2). Dasselbe gilt auch für die serbische Enklave im Norden Kosovos.</w:t>
      </w:r>
    </w:p>
    <w:p>
      <w:r>
        <w:rPr>
          <w:b/>
        </w:rPr>
        <w:t>E. 6.2.3</w:t>
      </w:r>
    </w:p>
    <w:p>
      <w:r>
        <w:t>Zu prüfen bleibt, ob der Beschwerdeführer in der serbischen Enklave im Norden Kosovos oder in Serbien aus individuellen Gründen einer konkreten Gefährdung ausgesetzt sein könnte. Bei der Beurteilung einer alternativen Zufluchtsmöglichkeit, an die naturgemäss höhere Anforderungen zu stellen sind, als bei einer Rückführung in die Heimatregion, sind die nachfolgend unter E. 6.2.3.1 - 6.2.3.3 aufgeführten Kriterien zu berücksichtigen (vgl. D-7561/2008 a.a.O. E. 8.3.3 ff. i.V.m. EMARK 1996 Nr. 2).</w:t>
      </w:r>
    </w:p>
    <w:p>
      <w:r>
        <w:rPr>
          <w:b/>
        </w:rPr>
        <w:t>E. 6.2.3.1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6.2.3.2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w:t>
      </w:r>
    </w:p>
    <w:p>
      <w:r>
        <w:rPr>
          <w:b/>
        </w:rPr>
        <w:t>E. 6.2.3.3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6.2.4</w:t>
      </w:r>
    </w:p>
    <w:p>
      <w:r>
        <w:t>Aus den Akten ergibt sich, dass es sich beim Beschwerdeführer um einen jungen, ledigen und - soweit aktenkundig - gesunden Mann handelt, der seit seiner Geburt mit den Eltern und Geschwistern in C._______/F._______ im Süden Kosovos gelebt hat. Er verfügt über eine abgeschlossene Ausbildung zum (Beruf), wobei er nie erwerbstätig gewesen sei, da es in seinem Heimatort keine diesbezügliche Arbeit gegeben habe und er das Land nach dem Schulabschluss verlassen habe (vgl. A1 S. 2, A9 S. 7). Der Beschwerdeführer verbrachte somit sein ganzes bisheriges Leben - bis zur Ausreise am 5. Oktober 2008 - in Südkosovo, wo er der serbischen Minderheitsethnie angehörte. Weder in der serbischen Enklave im Norden Kosovos noch in Serbien verfügt er über Verwandte (alle Verwandten [Aufzählung] lebten in den Orten C._______ und H._______ in der Gemeinde F._______ im Süden Kosovos [vgl. A1 S. 3]) oder sonstige Bezugspersonen; mithin fehlt ein - gemäss der Praxis des Bundesverwaltungsgerichts erforderliches - tragfähiges Beziehungsnetz. Unter den gegebenen Umständen, insbesondere angesichts der fehlenden Berufserfahrung, dürfte der Beschwerdeführer ohne soziales Beziehungsnetz auch kaum in der Lage sein, sich im Norden Kosovos oder in Serbien wirtschaftlich zu integrieren. In Berücksichtigung der geschilderten Umstände kommt das Bundesverwaltungsgericht damit zum Schluss, dass der Vollzug der Wegweisung des Beschwerdeführers im heutigen Zeitpunkt sowohl in die serbische Enklave im Norden Kosovos als auch nach Serbien als unzumutbar im Sinne von Art. 83 Abs. 4 AuG zu bezeichnen ist. Die Voraussetzungen für die Gewährung der vorläufigen Aufnahme sind damit erfüllt. Umstände im Sinne von Art. 83 Abs. 7 AuG, die einer vorläufigen Aufnahme entgegenstehen würden, liegen nicht vor.</w:t>
      </w:r>
    </w:p>
    <w:p>
      <w:r>
        <w:rPr>
          <w:b/>
        </w:rPr>
        <w:t>E. 7</w:t>
      </w:r>
    </w:p>
    <w:p>
      <w:r>
        <w:t>Nach dem Gesagten ist die Beschwerde gutzuheissen, soweit sie die Frage des Wegweisungsvollzugs betrifft. Die Ziffern 4 bis 6 des Dispositivs der vorinstanzlichen Verfügung vom 10. November 2008 sind aufzuheben, und das BFM ist anzuweisen, den Beschwerdeführer wegen gegenwärtiger Unzumutbarkeit des Wegweisungsvollzug in der Schweiz vorläufig aufzunehmen. Im Übrigen ist die Beschwerde abzuweisen.</w:t>
      </w:r>
    </w:p>
    <w:p>
      <w:r>
        <w:rPr>
          <w:b/>
        </w:rPr>
        <w:t>E. 8.1</w:t>
      </w:r>
    </w:p>
    <w:p>
      <w:r>
        <w:t>Bei diesem Ausgang des Verfahrens - zufolge Unterliegens im Asyl- und Wegweisungspunkt - sind dem Beschwerdeführer die hälftigen Verfahrenskosten in der Höhe von Fr. 300.- aufzuerlegen (Art. 63 Abs. 1 VwVG). Diese sind durch den geleisteten Kostenvorschuss von Fr. 600.- vollständig gedeckt und sind mit diesem zu verrechnen; der Überschuss von Fr. 300.- ist dem Beschwerdeführer zurückzuerstatten (vgl. beiliegendes Zahladresse-Formular).</w:t>
      </w:r>
    </w:p>
    <w:p>
      <w:r>
        <w:rPr>
          <w:b/>
        </w:rPr>
        <w:t>E. 8.2</w:t>
      </w:r>
    </w:p>
    <w:p>
      <w:r>
        <w:t>Ganz oder teilweise obsiegende Parteien haben Anspruch auf eine Parteientschädigung für die ihnen erwachsenen notwendigen Kosten (Art. 64 Abs. 1 VwVG, Art. 7 Abs. 1 VGKE). Da dem nicht anwaltlich vertretenen Beschwerdeführer keine notwendigen Kosten im Sinne der gesetzlichen Bestimmungen entstanden sind, ist ihm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