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D-7841/2016 vom 6. September 2017</w:t>
      </w:r>
    </w:p>
    <w:p>
      <w:r>
        <w:t>Bundesverwaltungsgericht, 2017-09-06, DE</w:t>
      </w:r>
    </w:p>
    <w:p>
      <w:r>
        <w:rPr>
          <w:b/>
        </w:rPr>
        <w:t xml:space="preserve">Quelle: </w:t>
      </w:r>
      <w:r>
        <w:t>https://mcp.opencaselaw.ch/entscheid/bvger_D-7841_2016</w:t>
      </w:r>
    </w:p>
    <w:p>
      <w:r>
        <w:t>FR: TAF D-7841/2016 du 6 septembre 2017</w:t>
      </w:r>
    </w:p>
    <w:p>
      <w:r>
        <w:t>IT: TAF D-7841/2016 del 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beantragte die Aufhebung der Dispositivziffern vier und fünf der angefochtenen Verfügung, verbunden mit der Feststellung der Unzulässigkeit oder Unzumutbarkeit des Wegweisungsvollzugs und der Anordnung einer vorläufigen Aufnahme. Die Dispositivziffern eins bis drei der angefochtenen Verfügung (Nichterfüllung der Flüchtlingseigenschaft, Ablehnung des Asylgesuchs und Anordnung der Wegweisung) sind somit unangefochten in Rechtskraft erwachsen und folglich nicht Verfahrensgegenstand.</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den kurdischen Gebieten des Nordiraks lässt den Wegweisungsvollzug zum heutigen Zeitpunkt nicht als unzulässig erscheinen (vgl. Referenzurteil des Bundesverwaltungsgerichts E-3737/2015 vom 14. Dezember 2015 E. 6.3; bestätigt in Urteil des BVGer D-3994/2016 vom 22. August 2017 E. 8.3).</w:t>
      </w:r>
    </w:p>
    <w:p>
      <w:r>
        <w:rPr>
          <w:b/>
        </w:rPr>
        <w:t>E. 6.4</w:t>
      </w:r>
    </w:p>
    <w:p>
      <w:r>
        <w:t>Der Beschwerdeführer beruft sich in der Beschwerde auf den Grundsatz der Einheit der Familie gemäss Art. 8 EMRK respektive Art. 44 AsylG. Der Vater des Beschwerdeführers befinde sich seit (...) ununterbrochen in der Schweiz und verfüge seit (...) über eine Aufenthaltsbewilligung "B". Der angefochtene Entscheid würde zu einer Trennung der Familie führen. Zudem komme dem Vater Parteistellung zu, weshalb ihm das SEM das rechtliche Gehör hätte gewähren müssen.</w:t>
      </w:r>
    </w:p>
    <w:p>
      <w:r>
        <w:rPr>
          <w:b/>
        </w:rPr>
        <w:t>E. 6.5</w:t>
      </w:r>
    </w:p>
    <w:p>
      <w:r>
        <w:t>Beim Beschwerdeführer handelt es sich um eine volljährige Person, weshalb er nicht zur Kernfamilie, worunter Ehegatten und minderjährige Kinder fallen (vgl. BGE 135 I 143 E. 1.3.2 S. 146 f.; BVGE 2008/47 E.4.1.1; Entscheidungen und Mitteilungen der Schweizerischen Asylrekurskommission [EMARK] 2005 Nr. 3 E. 3.1) zu zählen ist. Über die Kernfamilie hinausgehende verwandtschaftliche Bande fallen nur dann unter den Schutzbereich des Familienlebens, sofern zwischen den Personen ein eigentliches Abhängigkeitsverhältnis besteht (vgl. BVGE 2008/47 E. 4.1.1). Ein solches ist vorliegend nicht ersichtlich. Ferner war das SEM auch nicht verpflichtet, den Vater des Beschwerdeführers formell in das Verfahren einzubeziehen, da diesem keine Parteistellung zukommt. Eine Verletzung des Anspruchs auf rechtliches Gehör liegt mithin nicht vor.</w:t>
      </w:r>
    </w:p>
    <w:p>
      <w:r>
        <w:rPr>
          <w:b/>
        </w:rPr>
        <w:t>E. 6.6</w:t>
      </w:r>
    </w:p>
    <w:p>
      <w:r>
        <w:t>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Das SEM begründete die Zumutbarkeit des Wegweisungsvollzugs damit, dass der Beschwerdeführer aus einer kurdischen Provinz im Nordirak stamme. Zwar zeichne sich die Lage im Irak durch eine grosse Dynamik und Volatilität aus. Die Gewalt konzentriere sich jedoch auf den Zentral- und Südirak, während die kurdischen Regionen kaum davon betroffen seien. Die Einnahme diverser Ortschaften im Zentralirak durch den Islamischen Staat (IS) seit Juni 2014 führe zu einer grossen Flüchtlingswelle in die kurdische Region. Deren Auswirkung auf die Sicherheits- und Versorgungslage sei allerdings nicht derart gravierend, dass generell von einer konkreten Gefährdung gesprochen werden könne. Von einem Angriff des IS seien die kurdischen Provinzen derzeit nicht bedroht. Die Auseinandersetzungen zwischen Kräften des IS und den kurdischen Peschmerga konzentriere sich auf Distrikte in der Provinz Ninawa um Mosul, Zumar, Sindschar sowie südlich von Kirkuk auf die Provinzen Salah ad-Din und Diyala. Die Präsenz des IS an den Grenzen der kurdischen Region führe zu einer hohen Wachsamkeit der kurdischen Regionalbehörden und zu ausgeprägten Sicherheitsmassnahmen. Die Einreiseregelungen würden verschärft, Moscheen und religiöse Gruppierungen und Personen, die vom Kampf in Syrien zurückkehren würden, würden überwacht, und in Flüchtlingslagern würden strenge Kontrollen durchgeführt. Aufgrund der allgemeinen Sicherheitslage herrsche in den vier kurdischen Provinzen aber keine Situation allgemeiner Gewalt. Diese Einschätzung stehe im Einklang mit der Praxis des Bundesverwaltungsgerichts sowie diverser Staaten der Europäischen Union. Aus den Akten ergäben sich auch keine Hinweise, der Beschwerdeführer könnte aufgrund wirtschaftlicher, sozialer oder gesundheitlicher Gründe bei einer Rückkehr in eine existenzbedrohende Situation geraten. Mit seinen drei Tanten und vier Onkeln mütterlicherseits, den acht Tanten und vier Onkeln väterlicherseits, den Grosseltern und mehr als zehn Cousins verfüge er über ein grosses familiäres Netz, weshalb von einer gesicherten Wohnsituation ausgegangen werden könne. Er sei gesund, verfüge über eine elfjährige Schulbildung und bringe erste Arbeitserfahrungen mit, da er (...) im (...) geholfen habe. Es sei deshalb davon auszugehen, er sei in der Lage, seinen Lebensunterhalt zu finanzieren sowie seine Familie, wenn nötig, zu unterstützen.</w:t>
      </w:r>
    </w:p>
    <w:p>
      <w:r>
        <w:rPr>
          <w:b/>
        </w:rPr>
        <w:t>E. 7.3</w:t>
      </w:r>
    </w:p>
    <w:p>
      <w:r>
        <w:t>Diesen Ausführungen wurde in der Beschwerdeschrift entgegnet, das SEM halte in seiner Verfügung fest, die Lage im Irak sei durch eine grosse Volatilität geprägt. Die Vorinstanz behaupte, die kurdischen Nordprovinzen seien nicht von Angriffen des IS bedroht. Dabei beziehe sie sich auf die Internetseite "understanding.war". Ein Aufruf dieser Seite bringe jedoch keine Klarheit, auf welchen Text sich das SEM genau beziehe. Das SEM zitiere zudem eine eigene Publikation "Focus Irak: Lage in der irakischen Region Kurdistan" vom 24. Februar 2015, welche jedoch bereits zwei Jahre alt sei, sich auf noch älteres Quellenmaterial beziehe und daher von der Dynamik des Geschehens überholt sei. Dieser Report berücksichtige viele Ereignisse nicht, etwa die zeitweilige Besetzung des Ninava-Staudamms durch den IS, die Bemühungen der irakischen Armee, die Stadt Mosul vom IS zu befreien, sowie die zahlreichen Angriffe der türkischen Luftwaffe und der Bodentruppen auf die Kandil-Region, welche der Guerilla der Partiya Karkerên Kurdistanê (PKK) als Rückzugsort diene und etwa (...) km (...) von B._______, des Herkunftsorts des Beschwerdeführers liege. Diese Angriffe hätten sich seit dem gescheiterten Militärputsch in der Türkei hinsichtlich Qualität und Quantität gesteigert. Unter dem fortdauernden Ausnahmezustand habe sich die Menschenrechts- und Sicherheitslage in der unmittelbar an den Herkunftsort des Beschwerdeführers angrenzenden türkischen Provinz C._______ massiv verschlechtert. Für diese Feststellung könne auf das Papier der Schweizerischen Flüchtlingshilfe (SFH) "Türkei - Situation im Südosten" vom 25. August 2016 verwiesen werden. Die räumliche Nähe des vom IS beherrschten Gebiets zur Heimatregion des Beschwerdeführers stelle als solche eine Bedrohung dar. Eine derartige andauernde Spannungslage in der unmittelbaren Nähe der Heimatregion habe massive Auswirkungen auf die objektive Sicherheitslage und das subjektive Empfinden der Bevölkerung. Entgegen der Ansicht der Vorinstanz sei die allgemeine Lage somit nicht nur durch grosse Volatilität geprägt, sondern verschlechtere sich zusehends und nähere sich einer Situation allgemeiner Gewalt. Eine Stabilisierung oder Verbesserung sei nicht in Sicht. Das vom SEM zitierte Urteil des Bundesverwaltungsgerichts E-3737/2015 vom 14. Dezember 2015 ändere daran nichts, weil es ebenfalls von einer veralteten Lageeinschätzung ausgehe. Das SEM habe zudem unberücksichtigt gelassen, dass der Beschwerdeführer bei einer Rückkehr ohne das Familienoberhaupt in eine besonders schwierige Lage geraten würde, was nicht durch das von der Vorinstanz geltend gemachte umfangreiche familiäre Netz aufgewogen werden könne.</w:t>
      </w:r>
    </w:p>
    <w:p>
      <w:r>
        <w:rPr>
          <w:b/>
        </w:rPr>
        <w:t>E. 7.4</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im Verhältnis zum restlichen Irak relativ gut darstelle. Gestützt darauf kam es zum Schluss, dass ein Wegweisungsvollzug in die kurdischen Provinzen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 Diese Praxis wurde in den folgenden Jahren in zahllosen Urteilen des Bundesverwaltungsgerichts umgesetzt und bekräftigt. Im Urteil E-3737/2015 vom 14. Dezember 2015 (als Referenzurteil publiziert) wurde die Lage im Nordirak und Zumutbarkeitspraxis neuerlich überprüft. Das Gericht stellte fest, dass in den vier Provinzen der Autonomen Kurdischen Region (das KRG-Gebiet wird seit Anfang 2015 durch die Provinzen Dohuk, Erbil, Suleimaniya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Die langjährige Praxis gemäss BVGE 2008/5 für aus dieser Region stammende Kurden bleibt somit grundsätzlich weiterhin anwendbar. Angesichts der Belastung der behördlichen Infrastrukturen durch Internally Displaced Persons (IDPs) ist allerdings jeweils der Prüfung des Vorliegens begünstigender individueller Faktoren - insbesondere denjenigen eines tragfähigen familiären Beziehungsnetzes (vgl. auch BVGE 2008/5 E. 7.5) - besonderes Gewicht beizumessen (Urteil E-3737/2015 vom 14. Dezember 2015 E. 7.4.5). Diese Rechtsprechung ist trotz der Volatilität der Lage im Irak weiterhin gültig (vgl. etwa Urteile des Bundesverwaltungsgerichts D-3994/2016 vom 22. August 2017 E. 6.3.3 und D-233/2017 vom 9. März 2017 E. 10.6).</w:t>
      </w:r>
    </w:p>
    <w:p>
      <w:r>
        <w:rPr>
          <w:b/>
        </w:rPr>
        <w:t>E. 7.5</w:t>
      </w:r>
    </w:p>
    <w:p>
      <w:r>
        <w:t>Beim Beschwerdeführer handelt es sich um einen jungen Kurden, welcher gemäss Aktenlage bei guter Gesundheit ist. Er verfügt über eine fundierte Schulbildung, erste Arbeitserfahrung und ein ausgeprägtes soziales Netz in der Heimat. In Übereinstimmung mit den vorinstanzlichen Erwägungen ist das Vorliegen begünstigender Faktoren somit zu bejahen, weshalb sich der Vollzug der Wegweisung als zumutbar erweist.</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die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