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D-783/2023 vom 17. Februar 2023</w:t>
      </w:r>
    </w:p>
    <w:p>
      <w:r>
        <w:t>Bundesverwaltungsgericht, 2023-02-17, DE</w:t>
      </w:r>
    </w:p>
    <w:p>
      <w:r>
        <w:rPr>
          <w:b/>
        </w:rPr>
        <w:t xml:space="preserve">Quelle: </w:t>
      </w:r>
      <w:r>
        <w:t>https://mcp.opencaselaw.ch/entscheid/bvger_D-783_2023</w:t>
      </w:r>
    </w:p>
    <w:p>
      <w:r>
        <w:t>FR: TAF D-783/2023 du 17 février 2023</w:t>
      </w:r>
    </w:p>
    <w:p>
      <w:r>
        <w:t>IT: TAF D-783/2023 del 17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118 Abs. 3 AsylG; Art. 105 AsylG i.V.m. Art. 37 VGG und Art. 52 Abs. 1 VwVG). 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wie die vorliegende wird in einzelrichterlicher Zuständigkeit mit Zustimmung eines zweiten Richters entschieden (vgl. Art. 111 Bst. e AsylG). Der Beschwerdeentscheid ist nur summarisch zu begründen (Art. 111a Abs. 2 AsylG) und auf einen Schriftenwechsel wurde in Anwendung von Art. 111a Abs. 1 AsylG verzichtet.</w:t>
      </w:r>
    </w:p>
    <w:p>
      <w:r>
        <w:rPr>
          <w:b/>
        </w:rPr>
        <w:t>E. 4.1</w:t>
      </w:r>
    </w:p>
    <w:p>
      <w:r>
        <w:t>In der Beschwerde wird in formeller Hinsicht gerügt, die Vorinstanz habe den Sachverhalt unzureichend abgeklärt und den Untersuchungsgrundsatz sowie die Begründungspflicht verletzt. Zudem habe es die Möglichkeit eines Selbsteintritts wegen Gefahr einer Verletzung von Art. 3 EMRK unzureichend geprüft. Diese Rügen sind vorab zu beurteilen, da sie allenfalls geeignet wären,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Grundsatz des rechtlichen Gehörs (Art. 29 Abs. 2 BV, Art. 29 und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(vgl. Kneubühler/Pedretti, in: Kommentar zum VwVG, Auer/Müller/Schindler [Hrsg.], 2. Auflage 2019, Art. 35 Rz. 7 ff.; BGE 136 I 184 E. 2.2.1, BVGE 2013/34 E. 4.1, je m.w.H).</w:t>
      </w:r>
    </w:p>
    <w:p>
      <w:r>
        <w:rPr>
          <w:b/>
        </w:rPr>
        <w:t>E. 4.4</w:t>
      </w:r>
    </w:p>
    <w:p>
      <w:r>
        <w:t>Der Beschwerdeführer macht geltend, die Vorinstanz habe seinen Gesundheitszustand nicht hinreichend abgeklärt. Er habe anlässlich des Dublin-Gesprächs angegeben, Opfer von Folter geworden zu sein. Die medizinische Untersuchung sei jedoch zum Entscheidzeitpunkt noch nicht abgeschlossen gewesen. So habe er gleichentags einen Arzttermin gehabt, bei welchem er für eine Magnetresonanztomographie (MRI) und eine psychologische Begutachtung angemeldet worden sei. Die Resultate dieser Untersuchungen hätten jedoch beim Entscheid nicht berücksichtigt werden können, da die Vorinstanz es versäumt habe, vor Erlass der Verfügung beim medizinischen Personal nachzufragen, ob noch Termine ausstehend seien. Ebenfalls hätten die Arztbesuche ohne Dolmetscher stattfinden müssen. Der rechtserhebliche Sachverhalt habe somit nicht ausreichend erstellt werden können. Dabei sei die Vorinstanz insbesondere aufgrund der Foltervorbringen gehalten gewesen, vertiefte Abklärungen vorzunehmen. Dies auch vor dem Hintergrund, die österreichischen Behörden entsprechend informieren zu können, insbesondere da Österreich nicht auf das Übernahmeersuchen der Vorinstanz reagiert habe. Allgemein sei die aktuelle Situation in Österreich zurzeit angespannt und die dortigen Asylstrukturen massiv überlastet. Aufgrund seiner Vulnerabilität als Opfer von Folter hätte die Vorinstanz zudem entsprechende Abklärungen tätigen müssen, um seinen Zugang zur medizinischen Erstversorgung und zum Asylverfahren sicherstellen zu können. Auch unter dem Aspekt einer möglichen Retraumatisierung durch eine allfällige Inhaftnahme aufgrund eines türkischen Haftbefehls wäre das vorgängige Informieren der österreichischen Behörden über seinen Gesundheitszustand zwingend notwendig.</w:t>
      </w:r>
    </w:p>
    <w:p>
      <w:r>
        <w:rPr>
          <w:b/>
        </w:rPr>
        <w:t>E. 4.5</w:t>
      </w:r>
    </w:p>
    <w:p>
      <w:r>
        <w:t>Entgegen der Auffassung des Beschwerdeführers ist aufgrund der im Entscheidzeitpunkt bestehenden Aktenlage davon auszugehen, dass sich die Vorinstanz ein hinreichendes Bild vom Gesundheitszustand des Beschwerdeführers machen konnte, um die Zulässigkeit einer Überstellung nach Österreich zu beurteilen sowie über die Anwendung der Souveränitätsklausel zu befinden. Die Vorinstanz hat sich in der angefochtenen Verfügung mit den ihr zum Entscheidzeitpunkt zur Verfügung stehenden medizinischen Informationen auseinandergesetzt und festgestellt, dass sich der Beschwerdeführer aufgrund seiner gesundheitlichen Probleme aktuell in Behandlung befindet und medikamentös versorgt wird. Zwar ist es richtig, dass es die Vorinstanz offenbar unterlassen hat, sich bezüglich anstehender Behandlungen beim medizinischen Personal zu erkundigen, jedoch bestand aufgrund der Aktenlage auch keine Veranlassung, weitere diesbezügliche Abklärungen vorzunehmen beziehungsweise das Resultat der erfolgten Behandlungen abzuwarten (zur antizipierten Beweiswürdigung vgl. BGE 141 I 60 E. 3.3; 136 I 229 E. 5.3). Der Beschwerdeführer verkennt vorliegend, dass an die völkerrechtliche Verpflichtung, Folter sowie die daraus resultierenden gesundheitlichen Folgen für Folteropfer zu identifizieren, bei Dublin-Rückkehrenden nicht die gleichen Anforderungen zu stellen sind wie bei Personen, welche in ihren Heimstaat zurückgewiesen werden sollen. Für die Beurteilung der Zulässigkeit einer Dublin-Überstellung aus medizinischen Gründen ist primär die Reisefähigkeit und die Behandelbarkeit der geltend gemachten gesundheitlichen Beschwerden im zuständigen Mitgliedstaat massgebend. Da Österreich über ein gut funktionierendes Gesundheitssystem verfügt, sind die Anforderungen an die Abklärung des medizinischen Sachverhalts entsprechend reduziert und bestand im vorliegenden Fall keine hinreichende Veranlassung, vor dem Entscheid eine umfassende ärztliche Begutachtung des Beschwerdeführers zu veranlassen beziehungsweise das Ergebnis einer solchen abzuwarten. Im Weiteren fehlt es an konkreten Anhaltspunkten, dass dem Beschwerdeführer in Österreich eine notwendige medizinische Behandlung vorenthalten würde. Die Vorinstanz durfte vorliegend somit davon ausgehen, dass der medizinische Sachverhalt rechtsgenüglich erstellt war. Im Übrigen hat die Vor-instanz in der angefochtenen Verfügung ausdrücklich versichert, dass der Gesundheitszustand des Beschwerdeführers im Überstellungszeitpunkt abschliessend beurteilt wird und die österreichischen Behörden vor seiner Überstellung über den medizinischen Sachverhalt informiert werden, womit sich auch die diesbezüglich vorgebrachten Zweifel des Beschwerdeführers als unbegründet erweisen.</w:t>
      </w:r>
    </w:p>
    <w:p>
      <w:r>
        <w:rPr>
          <w:b/>
        </w:rPr>
        <w:t>E. 4.6</w:t>
      </w:r>
    </w:p>
    <w:p>
      <w:r>
        <w:t>Nach dem Gesagten besteht keine Veranlassung, die angefochtene Verfügung aus formellen Gründen aufzuheben und die Sache an die Vor-instanz zurückzuweisen. Das entsprechende Begehren ist demzufolge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5.3</w:t>
      </w:r>
    </w:p>
    <w:p>
      <w:r>
        <w:t>Der nach der Dublin-III-VO zuständige Mitgliedstaat ist verpflichtet, eine antragsstellende Person, die während der Prüfung ihres Antrags in einem anderen Mitgliedstaat einen Antrag gestellt hat oder der sich im Hoheitsgebiet eines anderen Mitgliedstaats ohne Aufenthaltstitel aufhält, nach Massgabe der Art. 23, 24, 25 und 29 wiederaufzunehmen (Art. 18 Abs. 1 Bst. b Dublin-III-VO).</w:t>
      </w:r>
    </w:p>
    <w:p>
      <w:r>
        <w:rPr>
          <w:b/>
        </w:rPr>
        <w:t>E. 5.4</w:t>
      </w:r>
    </w:p>
    <w:p>
      <w:r>
        <w:t>Der Abgleich der Fingerabdrücke des Beschwerdeführers mit der Eurodac-Datenbank ergab, dass dieser am 25. Dezember 2022 in Österreich ein Asylgesuch eingereicht hatte. Das SEM ersuchte deshalb die österreichischen Behörden am 11. Januar 2023 um Wiederaufnahme des Beschwerdeführers gestützt auf Art. 18 Abs. 1 Bst. b Dublin-III-VO. Die österreichischen Behörden liessen das Übernahmeersuchen innert der in Art. 25 Abs. 1 Dublin-III-VO vorgesehenen Frist unbeantwortet, womit sie die Zuständigkeit Österreichs implizit anerkannten (Art. 25 Abs. 2 Dublin-III-VO).</w:t>
      </w:r>
    </w:p>
    <w:p>
      <w:r>
        <w:rPr>
          <w:b/>
        </w:rPr>
        <w:t>E. 5.5</w:t>
      </w:r>
    </w:p>
    <w:p>
      <w:r>
        <w:t>Die Zuständigkeit Österreichs steht somit grundsätzlich fest. Sie wird als solche vom Beschwerdeführer auch nicht bestritten. Die Hinweise in der Beschwerdeschrift, Österreich sei nie sein Zielland gewesen und er habe in Österreich kein Asylgesuch einreichen wollen, sondern sei von den österreichischen Behörden über die Bedeutung der Abgabe seiner Fingerabdrücke bewusst getäuscht worden, vermögen bezüglich der Zuständigkeitsfrage nichts zu ändern. Der Vollständigkeit halber sei einig mit der Vor-instanz erwähnt, dass die Dublin-III-VO den Schutzsuchenden kein Recht einräumt, den ihren Antrag prüfenden Staat selbst zu wählen (vgl. BVGE 2010/45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 Ebenso ist zu prüfen, ob das Selbsteintrittsrecht nach Art. 17 Abs. 1 erster Satz Dublin-III-VO auszuüben ist.</w:t>
      </w:r>
    </w:p>
    <w:p>
      <w:r>
        <w:rPr>
          <w:b/>
        </w:rPr>
        <w:t>E. 7.2</w:t>
      </w:r>
    </w:p>
    <w:p>
      <w:r>
        <w:t>Der Beschwerdeführer brachte in seiner Beschwerde vor, von den österreichischen Behörden schikaniert und ausgelacht worden zu sein. Weiter seien die österreichischen Asylstrukturen massiv überlastet und er sei als Opfer von Folter besonders vulnerabel. Im Übrigen fürchte er sich in Österreich vor Verfolgung, da er als Mitglied einer terroristischen Organisation beurteilt werden könnte (vgl. S. 8, Ziff. 18).</w:t>
      </w:r>
    </w:p>
    <w:p>
      <w:r>
        <w:rPr>
          <w:b/>
        </w:rPr>
        <w:t>E. 7.3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Der Beschwerdeführer hat kein konkretes und ernsthaftes Risiko dargetan, die österreichischen Behörden würden sich weigern, ihn wiederaufzunehmen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Einwand des Beschwerdeführers, die österreichischen Asylstrukturen seien massiv überlastet, vermag die Vermutung der Einhaltung der völkerrechtlichen Pflichten durch Österreich nicht umzustossen. Ernsthafte Hinweise für systemische Schwachstellen betreffend Asylverfahren und Aufnahmebedingungen in Österreich vermochte der Beschwerdeführer folglich nicht darzulegen. Weiter wurde er in Österreich - wenn auch angeblich gegen seinen Willen - als Asylsuchender registriert und hat das Land verlassen, bevor sein Asylgesuch bearbeitet werden konnte. Seine Ausreise erfolgte somit freiwillig und die österreichischen Behörden haben nicht versucht, ihn in ein Land zu bringen, wo ihm eine völkerrechtlich verbotene Behandlung droht. Die pauschale Befürchtung des Beschwerdeführers, in Österreich aufgrund seiner Nähe zur PKK verfolgt zu werden und in die Türkei zurückgeschickt zu werden, vermögen an dieser Einschätzung nichts zu ändern (vgl. Beschwerde S. 8 f., Ziff. 18). Der Beschwerdeführer hat ebenso wenig dargetan, die ihm bei einer Rückführung erwartenden Bedingungen in Österreich seien derart schlecht, dass sie zu einer Verletzung von Art. 4 der EU-Grundrechtecharta, Art. 3 EMRK oder Art. 3 FoK führen könnten. Auch wenn nicht auszuschliessen ist, dass der Beschwerdeführer in Österreich Demütigungen durch einzelne Behördenmitglieder erlebt haben könnte, ist nicht davon auszugehen, dass er im Rahmen der Dublin-Überstellung erneut solchen ausgesetzt wäre. Wie das SEM zu Recht festgehalten hat (vgl. angefochtene Verfügung S. 4), handelt es sich bei der erwähnten Behandlung um Machtmissbrauch durch Einzelpersonen, welche nicht einem Missbrauch durch offizielle staatliche Stellen gleichgesetzt werden können. Österreich ist ein Rechtsstaat mit funktionierendem Justizsystem, weshalb sich der Beschwerdeführer an die zuständigen Stellen wenden kann, sollte er sich von den österreichischen Behörden oder Drittpersonen ungerecht oder rechtswidrig behandelt fühlen. Der Beschwerdeführer hat auch keine konkreten Hinweise für die Annahme dargetan,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7.5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gesundheitlichen Probleme des Beschwerdeführers sind nicht von einer derartigen Schwere, dass aus humanitären Gründen von einer Überstellung abgesehen werden müsste. Auch die auf Beschwerdeebene eingereichte Zuweisung zur medizinischen Abklärung vom 2. Februar 2023 vermag an dieser Einschätzung nichts zu ändern. Angesichts der Gesamtumstände des vorliegenden Falles kann in antizipierter Beweiswürdigung davon ausgegangen werden, ein allfälliger ärztlicher Bericht führe zu keinem anderen Ergebnis. Es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österreichischen Behörden vorgängig in geeigneter Weise über die spezifischen medizinischen Umstände informieren (vgl. Art. 31 f. Dublin-III-VO).</w:t>
      </w:r>
    </w:p>
    <w:p>
      <w:r>
        <w:rPr>
          <w:b/>
        </w:rPr>
        <w:t>E. 7.6</w:t>
      </w:r>
    </w:p>
    <w:p>
      <w:r>
        <w:t>Nach dem Gesagten ist die Überstellung nach Österreich unter Beachtung der massgebenden völkerrechtlichen Bestimmungen als zulässig zu erkennen, womit keine zwingenden Gründe für einen Selbsteintritt auf das Asylgesuch des Beschwerdeführers nach Art. 17 Abs. 1 Dublin-III-VO ersichtlich sind.</w:t>
      </w:r>
    </w:p>
    <w:p>
      <w:r>
        <w:rPr>
          <w:b/>
        </w:rPr>
        <w:t>E. 7.7</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w:t>
      </w:r>
    </w:p>
    <w:p>
      <w:r>
        <w:t>Mit dem vorliegenden Urteil sind die verfahrensrechtlichen Anträge auf Erteilung der aufschiebenden Wirkung sowie um Befreiung von der Kostenvorschusspflicht gegenstandslos geworden. Der vorsorglich angeordnete Vollzugsstopp fällt dahin.</w:t>
      </w:r>
    </w:p>
    <w:p>
      <w:r>
        <w:rPr>
          <w:b/>
        </w:rPr>
        <w:t>E. 12</w:t>
      </w:r>
    </w:p>
    <w:p>
      <w:r>
        <w:t>Das Gesuch um Gewährung der unentgeltlichen Prozessführung ist - ungeachtet der nicht nachgewiesenen Bedürftigkeit - abzuweisen, da die Begehren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