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D-7811/2016 vom 3. Mai 2017</w:t>
      </w:r>
    </w:p>
    <w:p>
      <w:r>
        <w:t>Bundesverwaltungsgericht, 2017-05-03, DE</w:t>
      </w:r>
    </w:p>
    <w:p>
      <w:r>
        <w:rPr>
          <w:b/>
        </w:rPr>
        <w:t xml:space="preserve">Quelle: </w:t>
      </w:r>
      <w:r>
        <w:t>https://mcp.opencaselaw.ch/entscheid/bvger_D-7811_2016</w:t>
      </w:r>
    </w:p>
    <w:p>
      <w:r>
        <w:t>FR: TAF D-7811/2016 du 3 mai 2017</w:t>
      </w:r>
    </w:p>
    <w:p>
      <w:r>
        <w:t>IT: TAF D-7811/2016 del 3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macht geltend, dass die von der Vorinstanz vorgenommene Praxisänderung, wonach die Behandlung von Rückkehrenden durch die eritreischen Behörden hauptsächlich davon abhängig sei, ob die Rückkehr nach Eritrea freiwillig oder unter Zwang erfolgt sei und welchen Nationaldienst-Status der Rückkehrende vor seiner Ausreise aus Eritrea hatte, basiere auf einer dünnen Quellenlage. Soweit damit implizit die Verletzung der Begründungspflicht geltend gemacht wird, kann eine solche nicht festgestellt werden. Die Vorinstanz hat die wesentlichen Überlegungen und die Quellen genannt, die sie ihrem Entscheid zugrunde legte. Der Entscheid konnte denn auch sachgerecht vom Beschwerdeführer angefochten werden. Soweit mit dem Beschwerdevorbringen implizit die Richtigkeit der materiellen Würdigung in Frage gestellt wird, betrifft dies nicht eine allfällige Verletzung der Begründungspflicht, sondern vielmehr die materielle Auseinandersetzung mit der Frage, ob die Vorinstanz im vorliegenden Fall zutreffend das Vorliegen subjektiver Nachfluchtgründe verneint hat.</w:t>
      </w:r>
    </w:p>
    <w:p>
      <w:r>
        <w:rPr>
          <w:b/>
        </w:rPr>
        <w:t>E. 4.1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SEM führte zur Begründung des angefochtenen Entscheides im Wesentlichen aus, der Beschwerdeführer habe nur substanzarme Aussagen zum Inhalt des ersten militärischen Aufgebotes gemacht, weder Adressat, aufbietende Behörde noch Frist der Vorladung nennen können, was auf Wahrheitswidrigkeit hinweise. Darüber hinaus sei es realitätsfern, dass die Behörden gleich wenige Tage nach der Übergabe des ersten Aufgebotes wieder beim Beschwerdeführer erschienen sein sollen, obwohl die angebliche für beide wortgleichen Aufgebote gleichlautende Meldefrist von Ende November noch nicht abgelaufen gewesen sei. Widersprüchlich sei auch, dass der Beschwerdeführer in der BzP ausgesagt habe, dass zwischen dem Schulabbruch und der behördlichen Suche nach ihm ungefähr zwei Jahre vergangen seien. In der Anhörung sei jedoch die Rede gewesen vom Schulverweis im April 2014 und der ersten militärischen Vorladung im November 2014. Die Widersprüche habe der Beschwerdeführer nicht aufzulösen vermocht, vielmehr habe er mit der Behauptung, bereits zu einem früheren Zeitpunkt schon einmal die Schule abgebrochen zu haben, eine Schutzbehauptung aufgestellt. Aufgrund der unglaubhaften Verfolgungsvorbringen den Beschwerdeführer betreffend sei auch die behauptete Reflexverfolgung der Mutter unglaubhaft, zumal die Aussagen zur vermeintlichen Bürgschaft als Grund für die Entlassung der Mutter aus der Haft unklar gewesen seien.</w:t>
      </w:r>
    </w:p>
    <w:p>
      <w:r>
        <w:rPr>
          <w:b/>
        </w:rPr>
        <w:t>E. 4.4</w:t>
      </w:r>
    </w:p>
    <w:p>
      <w:r>
        <w:t>Der Beschwerdeführer behauptete, er habe sich lediglich bei den Daten von Schulabbruch und militärischem Aufgebot versprochen, was der Glaubhaftigkeit seiner Fluchtgründe nicht entgegenstehe. Auch habe er entgegen der Ansicht des SEM den Inhalt des Aufgebotes wahrheitsgetreu und sachgerecht zusammengefasst. Soweit das SEM kritisiere, es müssten noch genauere Daten in dem Schreiben enthalten gewesen sein, handle es sich um reine Spekulation. Er habe im Übrigen in der Anhörung keine Gelegenheit gehabt, sich genauer zum Inhalt zu äussern, was eher auf eine Verletzung des rechtlichen Gehörs deute. Dass wenige Tage nach dem ersten Aufgebot die Soldaten bereits mit einem gleichlautenden zweiten Aufgebot erschienen seien, sei wahrscheinlich so zu erklären, dass die Soldaten ihn gleich hätten mitnehmen wollen, wegen seiner Abwesenheit dann aber das zweite Aufgebot dagelassen hätten. Im Übrigen sei das Vorgehen der eritreischen Verwaltung nicht mit dem der Schweiz vergleichbar. Hinsichtlich der Bürgschaft zugunsten der Mutter sei aus dem Protokoll ersichtlich, dass der Beschwerdeführer die Fragen missverstanden habe. Insgesamt seien die vom SEM aufgeführten vermeintlichen Widersprüche auf Missverständnisse zurückzuführen und teilweise nicht relevant für die Asylbegründung. Die Missverständnisse seien vielleicht auch auf die Tatsache zurückzuführen, dass die Anhörung nicht in der Muttersprache des Beschwerdeführers - nämlich Bilen - erfolgt sei.</w:t>
      </w:r>
    </w:p>
    <w:p>
      <w:r>
        <w:rPr>
          <w:b/>
        </w:rPr>
        <w:t>E. 5.1</w:t>
      </w:r>
    </w:p>
    <w:p>
      <w:r>
        <w:t>Gemäss der durch das Bundesverwaltungsgericht von der Vorgängerinstanz übernommenen Rechtsprechung ist die glaubhaft gemachte Furcht vor Verfolgung wegen Dienstverweigerung und Desertion in Eritrea dann im flüchtlingsrechtlichen Sinne relevant, wenn die betroffene Person in einem konkreten Kontakt zu den Militärbehörden stand (vgl. Entscheidungen und Mitteilungen der ehemaligen Asylrekurskommission [EMARK] 2006 Nr. 3, E. 4.10). Diese Rechtsprechung hat auch unter dem Aspekt des am 29. September 2012 in Kraft getretenen Art. 3 Abs. 3 AsylG Gültigkeit (BVGE 2015/3 E. 4.3 ff. und 5) und wurde jüngst etwa mit Urteil des BVGer D-632/2017 vom 23. Februar 2017 bestätigt.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 im Gegensatz zur illegalen Ausreise (vgl. dazu das Referenzurteil D-7898/2015 vom 30. Januar 2017, vgl. auch nachstehend E. 4) als Ausdruck der Regimefeindlichkeit aufgefasst.</w:t>
      </w:r>
    </w:p>
    <w:p>
      <w:r>
        <w:rPr>
          <w:b/>
        </w:rPr>
        <w:t>E. 5.2</w:t>
      </w:r>
    </w:p>
    <w:p>
      <w:r>
        <w:t>Grundsätzlich glaubhaft sind die Vorbringen einer asylsuchenden Person nach der Rechtsprechung des Gerichts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5.3</w:t>
      </w:r>
    </w:p>
    <w:p>
      <w:r>
        <w:t>Auch das Gericht erachtet die Verfolgungsvorbringen angesichts vorhandener Widersprüche, Ungereimtheiten und fehlender Substanz als unglaubaft. Als erster Widerspruch fallen die unterschiedlichen Angaben des Beschwerdeführers zum Heimatort auf, gab er in der BzP doch ein anderes Heimatdorf an, in dem er von der Geburt bis zu Ausreise gelebt habe und in dem sich seine Familienmitglieder aufhielten (vgl. act A7, S. 4), als in der Anhörung (vgl. act. A18, S. 2). Auf die unterschiedlichen Ortsangaben angesprochen erklärt er nur, in dem in der BzP genannten Ort lebten die Grosseltern, was aber nicht erklärt, warum er den Heimatort der Grosseltern fälschlicherweise als Heimatadresse angibt. Auch hinsichtlich der vermeintlich fluchtauslösenden Sachumstände des Schulverweises/Schulabbruches und der militärischen Aufgebote fallen Widersprüchlichkeiten in BzP und Anhörung auf. Die Behauptung in der Beschwerde, er habe sich bei den Angaben zum Schulabbruch lediglich versprochen, vermag nicht zu überzeugen. Schliesslich hat sich der Beschwerdeführer in der BzP nicht nur versprochen, sondern einen ganz anderen Sachverhalt vorgetragen. Sagte er zuerst doch aus, er habe die Schule abgebrochen (vgl. act. A7, S. 6), was auf ein freiwilliges Handeln schliessen lässt, statt dass er von der Schule (unfreiwillig) verwiesen worden sei (vgl. act. A18, S. 3). Und dass etwa zwei Jahre nach dem Abbruch der Schule nach ihm wegen des Militärdienstes gesucht worden sei (vgl. act. A7, S. 6). Nach den Sachverhaltsvorbringen der Anhörung liegen zwischen Schulverweis im April 2014 (statt Abbruch) und der ersten Vorladung im November 2014 jedoch nicht zwei Jahre sondern ein halbes Jahr (vgl. act. A18, S. 3). Auf den erheblichen zeitlichen Widerspruch angesprochen wiederholt der Beschwerdeführer in der Anhörung lediglich die Aussage, er habe im April 2014 die Schule abgebrochen und im November seien erstmals Soldaten mit einer Vorladung erschienen (vgl. act. A18, S. 6). Später brachte er auf erneute Nachfrage noch vor, er habe die Schule zuvor schon einmal abgebrochen, habe sie dann aber fortsetzen dürfen. Zuletzt sei er im Jahr 2014 von der Schule verwiesen worden (vgl. act. A18, S. 7). Mit der Vorinstanz ist die Behauptung, bereits vorher die Schule abgebrochen zu haben, offensichtlich als Schutzbehauptung einzuordnen. Zumal er an späterer Stelle den vermeintlichen ersten und zweiten Schulabbruch nicht genau mit der Klassenstufe, die er bei Abbruch jeweils besucht habe, zeitlich einzuordnen vermochte (vgl. act. A18, S. 8). Auch den Inhalt der Vorladungen gibt der Beschwerdeführer nach Auffassung des Gerichts nur sehr unsubstantiiert wieder, was berechtigte Zweifel aufkommen lässt, ob er überhaupt ein Aufgebot erhalten hat. Soweit der Beschwerdeführer auf Beschwerdeebene erklärt, keine Gelegenheit gehabt zu haben, sich genauer zum Inhalt der ersten Vorladung zu äussern, ist dem zu widersprechen, da er nicht nur aufgefordert wurde, den Inhalt zu schildern, sondern auch noch nachgefragt wurde, was sonst noch in dem Schreiben gestanden habe (vgl. act. A18, S. 5, 6). Damit hatte er ausreichend Gelegenheit zur Schilderung des Inhaltes samt genaueren Angaben zum Adressaten, der Behörde, den Fristen etc. Auch hinsichtlich des zweiten Schreibens heisst es von Seiten des Beschwerdeführers nur, es habe dort gestanden, dass er sich bei der Verwaltung zu melden habe, das Schreiben sei identisch gewesen mit dem ersten Schreiben (vgl. act. A18, S. 6, 10). Die Substanzarmut ist somit ein Indiz für die fehlende Glaubhaftigkeit der Vorladungen. Auch unter Berücksichtigung der Einwände in der Beschwerdeschrift, dass die Verwaltungsabläufe in Eritrea anders seien als in der Schweiz, überzeugt das Vorgehen der Soldaten nicht, die nach Schulrauswurf erst ein halbes Jahr später mit einem militärisches Aufgebot erscheinen, um dann bereits nach wenigen Tagen sogleich wieder den Beschwerdeführer zwecks Vorladung aufzusuchen, um ihn mitzunehmen. Um dann aber bei Abwesenheit eine Frist bis zum (...) November für das Erscheinen bei der Militärbehörde zu setzen.</w:t>
      </w:r>
    </w:p>
    <w:p>
      <w:r>
        <w:rPr>
          <w:b/>
        </w:rPr>
        <w:t>E. 5.4</w:t>
      </w:r>
    </w:p>
    <w:p>
      <w:r>
        <w:t>Die vermeintliche Reflexverfolgung der Mutter ist bereits wegen des unglaubhaften Verfolgungsvorbringens des Beschwerdeführers zu bezweifeln. Zumal die Angaben zur Inhaftierung und den Umstanden der Freilassung der Mutter nur sehr pauschal sind (vgl. act. A18, S. 7). Die Argumentation des Beschwerdeführers, wonach er im Zusammenhang mit der zur Freilassung beigetragenen Bürgschaft manche Fragen nicht richtig verstanden habe, weshalb es Missverständnisse gegeben habe, ist wenig überzeugend (vgl. act. A18, S. 7). Soweit er überdies die Widersprüchlichkeiten und Ungereimtheiten seiner Vorbringen mit seinen sprachlichen Schwierigkeiten mit der Interviewsprache und daraus resultierenden Missverständnissen begründen will, überzeugt seine Argumentation nicht. Denn die Behauptung, die Anhörung sei in Tigrinyia geführt worden, was er nicht fliessend spreche, da es nicht seine Muttersprache sei, steht in klarem Widerspruch zu seinen Angaben in der BzP, wonach Tigrinyia seine Muttersprache sei (vgl. act. A7, S. 3). Zudem muss ihm entgegengehalten werden, dass er unterschriftlich bestätigt hat, dass die Protokolle und BzP seinen Aussagen entsprächen (vgl. act. A7, S. 8; A18, S. 12).</w:t>
      </w:r>
    </w:p>
    <w:p>
      <w:r>
        <w:rPr>
          <w:b/>
        </w:rPr>
        <w:t>E. 5.5</w:t>
      </w:r>
    </w:p>
    <w:p>
      <w:r>
        <w:t>Zusammenfassend ist festzuhalten, dass es dem Beschwerdeführer angesichts zahlreicher Widersprüche und Ungereimtheiten nicht gelingt, glaubhaft zu machen, nach seinem Schulverweis 2014 den Aufgeboten zur Absolvierung des Militärdienstes keine Folge geleistet zu haben und daher von eritreischen Soldaten gezielt gesucht worden sei, um für den Militärdienst rekrutiert zu werden. Die weiteren Ausführungen in der Beschwerde sind nicht geeignet, an dieser Schlussfolgerung etwas zu ändern, zumal sich die Beschwerdevorbringen hauptsächlich auf die behauptete illegale Ausreise des Beschwerdeführers beziehen. Eine Verfolgung gemäss Art. 3 AsylG im Zeitpunkt der Ausreise ist daher durch das SEM zu Recht verneint worden. Der Vollständigkeit halber bleibt darauf hinzuweisen, dass die allfällige Befürchtung, für den Nationaldienst rekrutiert zu werden, die nach Art. 3 AsylG erforderliche Intensität nicht erreicht (vgl. EMARK 2006 Nr. 3 E. 4.10).</w:t>
      </w:r>
    </w:p>
    <w:p>
      <w:r>
        <w:rPr>
          <w:b/>
        </w:rPr>
        <w:t>E. 6.1</w:t>
      </w:r>
    </w:p>
    <w:p>
      <w:r>
        <w:t>Es bleibt zu prüfen, ob der Beschwerdeführer wegen seiner Ausreise aus Eritrea bei einer Rückkehr dorthin - mithin wegen subjektiver Nachfluchtgründe - befürchten müsste, ernsthaften Nachteilen im Sinne von Art. 3 AsylG ausgesetzt zu werden.</w:t>
      </w:r>
    </w:p>
    <w:p>
      <w:r>
        <w:rPr>
          <w:b/>
        </w:rPr>
        <w:t>E. 6.2</w:t>
      </w:r>
    </w:p>
    <w:p>
      <w:r>
        <w:t>Als subjektive Nachfluchtgründe kommt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6.3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FK relativiert (vgl. Art. 3 Abs. 4 in fine AsylG).</w:t>
      </w:r>
    </w:p>
    <w:p>
      <w:r>
        <w:rPr>
          <w:b/>
        </w:rPr>
        <w:t>E. 6.4</w:t>
      </w:r>
    </w:p>
    <w:p>
      <w:r>
        <w:t>Mit Referenzurteil D-7898/2015 vom 30. Januar 2017 hat das Bundesverwaltungsgericht seine bisherige Rechtsprechung aufgegeben, wonach eine illegale Ausreise aus Eritrea als subjektiver Nachfluchtgrund anzusehen war, weil illegal Ausgereiste bei einer Rückkehr nach Eritrea mit erheblichen Nachteilen im Sinne von Art. 3 AsylG rechnen mussten (vgl. Urteil des BVGer D-3892/2008 vom 6. April 2010, E. 5.3.3). Das Bundesverwaltungsgericht kam in erwähntem Referenzurteil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w:t>
      </w:r>
    </w:p>
    <w:p>
      <w:r>
        <w:rPr>
          <w:b/>
        </w:rPr>
        <w:t>E. 6.5</w:t>
      </w:r>
    </w:p>
    <w:p>
      <w:r>
        <w:t>Ebenfalls nicht asylrelevant sei die Möglichkeit einer Einziehung in den Nationaldienst nach der Rückkehr, da es sich dabei auch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6.6</w:t>
      </w:r>
    </w:p>
    <w:p>
      <w:r>
        <w:t>Das Bundesverwaltungsgericht geht davon aus, ein erhebliches Risiko einer Bestrafung bei einer Rückkehr gestützt auf asylrelevante Motive sei nur dann anzunehmen, wenn zusätzlich zur illegalen Ausreise weitere Faktoren hinzuträten, welche die asylsuchende Person in den Augen der eri-treischen Behörden als missliebige Person erscheinen lassen.</w:t>
      </w:r>
    </w:p>
    <w:p>
      <w:r>
        <w:rPr>
          <w:b/>
        </w:rPr>
        <w:t>E. 6.7</w:t>
      </w:r>
    </w:p>
    <w:p>
      <w:r>
        <w:t>Da das Bundesverwaltungsgericht mit seinem Referenzurteil D-7898/2015 die Praxisänderung des SEM gestützt hat, sind die Einwände in der Beschwerde gegen die vom SEM vorliegend angewandte Praxisänderung obsolet. Es erübrigt sich somit, vorliegend eingehend auf die im Rahmen des Beschwerdeverfahrens erhobenen Einwände gegen die Praxisänderung sowie die in der angefochtenen Verfügung aufgezeigte Argumentation einzugehen, da diesbezüglich vollumfänglich auf das zitierte Urteil verwiesen werden kann.</w:t>
      </w:r>
    </w:p>
    <w:p>
      <w:r>
        <w:rPr>
          <w:b/>
        </w:rPr>
        <w:t>E. 6.8</w:t>
      </w:r>
    </w:p>
    <w:p>
      <w:r>
        <w:t>In Anbetracht der geänderten Rechtsprechung kann die Glaubhaftigkeit der illegalen Ausreise mit der Vorinstanz vorliegend offen gelassen werden, da solche zusätzlichen Faktoren im Falle des Beschwerdeführers zu verneinen sind. Es gelang ihm gemäss obenstehenden Erwägungen nicht, die behördliche Suche nach seiner Person infolge Verweigerung des Militärdienstes glaubhaft zu machen. Auch sonst sind keine Anknüpfungspunkte ersichtlich, welche ihn in den Augen des eritreischen Regimes als missliebige Person erscheinen lassen könnten. Auch das blosse Stellen eines Asylgesuchs im Ausland führt zu keiner entscheidrelevanten Schärfung seines Risikoprofils (vgl. Urteil des BVGer D-1045/2016 vom 24. Mai 2016 E. 7.4). Die angeblich illegal erfolgte Ausreise des Beschwerdeführers würde demnach, ungeachtet deren Glaubhaftigkeit, per se keine begründete Furcht vor einer zukünftig flüchtlingsrechtlich relevanten Verfolgung begründen. Was die in der Beschwerde geäusserten Bedenken hinsichtlich der Folgen im Zusammenhang mit einem befürchteten Einzug in den Nationaldienst und seiner Weigerung, das Reueformular zu unterschreiben sowie die Diasporasteuer zu bezahlen, betrifft, ist auf die obigen wiedergegebenen Erwägungen im Urteil D-7898/2015 zu verweisen.</w:t>
      </w:r>
    </w:p>
    <w:p>
      <w:r>
        <w:rPr>
          <w:b/>
        </w:rPr>
        <w:t>E. 6.9</w:t>
      </w:r>
    </w:p>
    <w:p>
      <w:r>
        <w:t>Das SEM hat demnach in der angefochtenen Verfügung zutreffenderweise festgestellt, dass der Beschwerdeführer die Flüchtlingseigenschaft nicht erfüllt. Nach dem Gesagten bestehen beim Beschwerdeführer somit keine flüchtlingsrechtlich relevanten subjektiven Nachfluchtgründe.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Infolge der angeordneten vorläufigen Aufnahme des Beschwerdeführers wegen Unzumutbarkeit des Wegweisungsvollzuges erübrigen sich weitere Ausführungen zur Durchführbarkeit des Vollzugs der Wegweisung.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und 5 VwVG). Der Antrag auf Gewährung der unentgeltlichen Prozessführung im Sinne von Art. 65 Abs. 1 VwVG wurde indes mit Zwischenverfügung vom 22. Dezember 2016 gutgeheissen. Da aufgrund der Akten nicht davon auszugehen ist, die finanziellen Verhältnisse des Beschwerdeführers hätten sich seither verändert, ist er nach wie vor als bedürftig zu erachten. Es sind daher keine Verfahrenskosten zu erheben. Erwägungen(Dispositiv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