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D-7805/2016 vom 28. Dezember 2016</w:t>
      </w:r>
    </w:p>
    <w:p>
      <w:r>
        <w:t>Bundesverwaltungsgericht, 2016-12-28, DE</w:t>
      </w:r>
    </w:p>
    <w:p>
      <w:r>
        <w:rPr>
          <w:b/>
        </w:rPr>
        <w:t xml:space="preserve">Quelle: </w:t>
      </w:r>
      <w:r>
        <w:t>https://mcp.opencaselaw.ch/entscheid/bvger_D-7805_2016</w:t>
      </w:r>
    </w:p>
    <w:p>
      <w:r>
        <w:t>FR: TAF D-7805/2016 du 28 décembre 2016</w:t>
      </w:r>
    </w:p>
    <w:p>
      <w:r>
        <w:t>IT: TAF D-7805/2016 del 28 dicembre 2016</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der vorliegenden Beschwerde zuständig und entscheidet endgültig (Art. 83 Bst. d Ziff. 1 BGG; Art. 105 AsylG [SR 142.31]). Die Beschwerdeführerin ist als Verfügungsadressatin zur Beschwerdeführung legitimiert (Art. 48 VwVG). Auf die frist- und formgerecht eingereichte Beschwerde ist einzutreten (Art. 108 Abs. 2 AsylG und Art. 52 Abs. 1 VwVG).</w:t>
      </w:r>
    </w:p>
    <w:p>
      <w:r>
        <w:rPr>
          <w:b/>
        </w:rPr>
        <w:t>E. 2</w:t>
      </w:r>
    </w:p>
    <w:p>
      <w:r>
        <w:t>Das Bundesverwaltungsgericht überprüft die angefochtene Verfügung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w:t>
      </w:r>
    </w:p>
    <w:p>
      <w:r>
        <w:t>Die Beschwerdeführerin beantragt im vorliegenden Verfahren die teilweise Aufhebung der angefochtenen Verfügung (Ziffn. 3 - 6), weswegen sich der Streitgegenstand im vorliegenden Entscheid auf die Frage der Wegweisung und des Wegweisungsvollzugs beschränkt. Nicht Gegenstand des Verfahrens hingegen sind die Flüchtlingseigenschaft und die Asylgewährung.</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zu Recht angeordnet (Art. 44 AsylG; vgl. BVGE 2013/37 E. 4.4; 2009/50 E. 9, je m.w.H.) und die diesbezügliche Rüge erweist sich als unbegründet.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6.4</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Die Beschwerdeführerin macht in ihrer Beschwerde geltend, dass der Wegweisungsvollzug aufgrund ihrer akuten Suizidalität das Recht auf Leben gemäss Art. 2 EMRK tangieren würde und deswegen gemäss Art. 83 Abs. 3 AuG unzulässig sei. Gemäss der Rechtsprechung des Bundesgerichts gilt: «Die wegweisungs- oder krankheitsbedingte Gefahr, dass die betroffene Person bei einer Aufenthaltsbeendigung ihrem Leben ein Ende setzen könnte, genügt für sich allein praxisgemäss nicht, um die Wegweisung bzw. deren Vollzug bereits als unverhältnismässig bzw. unzulässig erscheinen zu lassen. Die schweizerischen Behörden sind gehalten, im Rahmen der konkreten Rückkehrmassnahmen alles ihnen Zumutbare vorzukehren, um medizinisch bzw. betreuungsmässig sicherzustellen, dass das Leben und die Gesundheit der betroffenen Person nicht beeinträchtigt wird; sie sind verfassungsrechtlich jedoch nicht verpflichtet, im Hinblick auf eine psychisch kritische Situation in Abweichung von den gesetzlichen Vorgaben dem Ansinnen auf Erteilung einer Anwesenheitsberechtigung zu entsprechen (vgl. BGE 139 II 393 E. 5.2.2 S. 403; Urteil 2C_573/2014 vom 4. Dezember 2014 E. 4.3). Der Vollzug der Wegweisung muss in solchen Fällen sorgfältig geplant und durchgeführt werden.» (Urteil des BGer 2C_856/2015 vom 10. Oktober 2015 E. 3.2.1., m.w.H.). Überdies gibt es in Bosnien und Herzegowina geeignete Einrichtungen sowohl für die Suizidprävention als auch für die psychologische und psychiatrische Betreuung. Somit ist nicht ersichtlich, inwiefern der Wegweisungsvollzug das Recht auf Leben tangieren würde. Die diesbezügliche Rüge geht demnach fehl.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in Bosnien und Herzegowina lässt den Wegweisungsvollzug zum heutigen Zeitpunkt klarerweise nicht als unzulässig erscheinen. Die Beschwerdeführerin ist zudem, wie in der vorinstanzlichen Verfügung aufgezeigt wurde und was vorliegend nicht bestritten wird, vor Verfolgung gemäss Art. 6a Abs. 2 Bst. a AsylG (siehe nachfolgend E. 6.6). Nach dem Gesagten ist der Vollzug der Wegweisung sowohl im Sinne der asyl- als auch der völkerrechtlichen Bestimmungen zulässig.</w:t>
      </w:r>
    </w:p>
    <w:p>
      <w:r>
        <w:rPr>
          <w:b/>
        </w:rPr>
        <w:t>E. 6.5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mit weiteren Hinweisen). Bei der Gefährdungsvariante der medizinischen Notlage nach Art. 83 Abs. 4 AuG ist besonders zu beachten, dass nur dann auf Unzumutbarkeit des Wegweisungsvollzugs geschlossen werden kann, wenn das Fehlen einer notwendigen medizinischen Behandlung im Heimatstaat nach der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2011/50 E. 8.3 und BVGE 2009/2 E. 9.3.2). Die Vorinstanz führte in der angefochtenen Verfügung im Wesentlichen aus, dass weder die herrschende politische Situation in Bosnien und Herzegowina noch andere Gründe gegen die Zumutbarkeit der Rückführung in den Heimatstaat sprechen würden. So habe die Beschwerdeführerin die Mittelschule abgeschlossen und verfüge somit über einen guten Bildungsstand. Zudem habe sie bereits erste Arbeitserfahrungen gesammelt, indem sie in Haushalten geputzt und auf den Feldern gearbeitet habe. Weiter könne sich die Beschwerdeführerin beim Sozialamt melden, wobei sich ihre zukünftige Mutterschaft begünstigend auswirken könnte. Bezüglich der gesundheitlichen Probleme der Beschwerdeführerin bestehe die Möglichkeit, den weitgehend kostenlosen Gesundheitsschutz in Anspruch zu nehmen. Gemäss den hiesigen Ärzten bestünden momentan im Zusammenhang mit Schwangerschaft keine Probleme. In (...) gebe es zudem ein Frauenhaus, in welchem sie für einige Monate unterkommen könne. Im Heimatstaat der Beschwerdeführerin spiele die Familie und die Verwandtschaft eine wichtige Rolle, und gemäss den Angaben der Beschwerdeführerin würden dort eine Tante, zwei Onkel mütterlicherseits sowie weitere Verwandte väterlicherseits leben. Ausserdem pflege die Beschwerdeführerin einen guten Kontakt zu ihrer Mutter. Eine Cousine lebe in der Schweiz, welche ihr im Notfall ebenfalls unter die Arme greifen könne. Insgesamt seien aus den Akten keine individuellen Gründe ersichtlich, welche gegen eine Zumutbarkeit des Wegweisungsvollzugs sprechen würden. Dem setzte die Beschwerdeführerin in ihrer Beschwerde im Wesentlichen entgegen, dass die Vorinstanz das Kindeswohl verletzt habe, indem sie die Interessen des noch nicht geborenen Kindes nicht geprüft und in ihre Entscheidung habe einfliessen lassen. Die eingereichten Länderinformationen würden aufzeigen, dass die medizinische Versorgung und die Therapiemöglichkeiten ihrer posttraumatischen Belastungsstörung in ihrem Heimatstaat schlecht bzw. nicht vorhanden und oft nicht finanzierbar seien. Effektive Unterstützung in Form von Sozialhilfe zu erhalten dauere oft lange und sei mit grossem bürokratischem Aufwand verbunden, weswegen die Gewährleistung einer solchen ungewiss sei. Aufgrund der patriarchalischen Struktur ihrer Familie verfüge die Beschwerdeführerin entgegen den Ausführungen der Vorinstanz über kein tragfähiges familiäres Netzwerk. Zudem sei fraglich, inwiefern ihr die Verwandtschaft effektiv helfen würde. Weiter sei es der Beschwerdeführerin nicht zumutbar, als eine im siebten Monat schwangere Frau in ihrem aktuellen Gesundheitszustand den Rückflug in ihr Heimatland anzutreten.</w:t>
      </w:r>
    </w:p>
    <w:p>
      <w:r>
        <w:rPr>
          <w:b/>
        </w:rPr>
        <w:t>E. 6.6</w:t>
      </w:r>
    </w:p>
    <w:p>
      <w:r>
        <w:t>In Bosnien und Herzegowina, das der Bundesrat als verfolgungssicheren Herkunftsstaat (safe country) im Sinne von Art. 6a Abs. 2 Bst. a AsylG erklärt hat, herrscht keine Situation allgemeiner Gewalt.</w:t>
      </w:r>
    </w:p>
    <w:p>
      <w:r>
        <w:rPr>
          <w:b/>
        </w:rPr>
        <w:t>E. 6.7</w:t>
      </w:r>
    </w:p>
    <w:p>
      <w:r>
        <w:t>Mit Bezug auf die in der Beschwerde erhobenen Einwände betreffend die individuelle Zumutbarkeit ist zunächst festzuhalten, dass es sich bei einer Schwangerschaft als solcher nicht um eine Krankheit handelt. Weiter wird weder eine eigentliche Problemschwangerschaft geltend gemacht noch geht eine solche aus den Akten hervor. Insbesondere ist aus dem entsprechenden Arztbericht nicht ersichtlich, inwiefern die diagnostizierte (...)krankheit den Verlauf der Schwangerschaft negativ beeinträchtigen soll. Die von der Beschwerdeführerin eingereichte Gesundheitsempfehlung der SWISS hält zudem fest, dass bei einer einfachen und unkomplizierten Schwangerschaft werdende Mütter bis vier Wochen vor dem Entbindungstermin fliegen können. Da sich die Beschwerdeführerin gemäss ärztlichen Bericht des Universitätsspitals Basel ungefähr im sechsten Schwangerschaftsmonat befindet, stellt die Schwangerschaft hinsichtlich der Rückreise in ihren Heimatstaat kein gesundheitliches Risiko dar und spricht somit nicht gegen die Zumutbarkeit des Wegweisungsvollzugs. Die Beschwerdeführerin leidet gemäss den beigelegten Arztberichten an einer Anpassungsstörung mit depressiver Reaktion, aufgrund welcher sie seit dem Erhalt des negativen Asylentscheides vom 8. Dezember 2016 in ärztlicher Behandlung ist bzw. in der psychiatrischen Klinik (...) weilt. In somatischer Hinsicht leidet die Beschwerdeführerin an einer (...)krankheit, welche gemäss Arztbericht mit entsprechenden Salben und Waschlotionen behandelt wird. Diese Erkrankungen stellen keine derart schwerwiegenden oder seltenen Krankheiten dar, welche spezifische oder nur mit schwer erhältlichen Medikamenten zu gewährleistende Behandlungen erfordern würden. Es darf somit angenommen werden, dass der Heimatstaat über die erforderlichen Behandlungsmöglichkeiten verfügt und eine solche Behandlung grundsätzlich möglich ist. Wie die ins Recht gelegten Länderberichte der SFH aufzeigen, verfügt Bosnien und Herzegowina über ein obligatorisches Krankenversicherungswesen. Entgegen ihren Ausführungen bestehen für die Beschwerdeführerin also durchaus Möglichkeiten, sich die notwendigen Medikamente zu beschaffen und sich im Notfall in eine der vorhandenen psychiatrischen Einrichtungen einliefern zu lassen. Massgeblich ist dabei nicht - anders als von der Beschwerdeführerin geltend gemacht - ob eine effektive Behandlungsmöglichkeit besteht, sondern ob die vorhandenen medizinischen Möglichkeiten eine menschenwürdige Existenz gewährleisten. Zwar ist anzunehmen, dass das bosnische Gesundheitssystem nicht dem schweizerischen Standard entsprechen und verschiedene Unzulänglichkeiten aufweisen mag. Eine mit der Schweiz vergleichbare medizinische Versorgung ist jedoch gemäss Rechtsprechung des Bundesverwaltungsgerichts auch nicht Voraussetzung, damit eine Rückkehr in einen Heimatstaat als zumutbar erachtet werden kann. Wie oben ausgeführt (E. 6.5), ist eine Rückreise nur bei gänzlichem Fehlen einer notwendigen medizinischen Behandlung im Heimatstaat unzumutbar. Davon kann jedoch vorliegend keine Rede sein. Schliesslich kann die Beschwerdeführerin bei der Vorinstanz unter Vorlage entsprechender Atteste medizinische Rückkehrhilfe beantragen (Art. 93 Abs. 1 Bst. d AsylG i.V.m. Art. 75 der Asylverordnung 2 vom 11. August 1999 über Finanzierungsfragen [AsylV 2, SR 142.312]). Somit wäre sie in einer ersten Phase nach ihrer Rückkehr hinsichtlich der Organisation der medizinischen Behandlung - falls überhaupt noch erforderlich - nicht vor unüberwindbare Schwierigkeiten gestellt. Folglich ist nach dem Gesagten nicht anzunehmen, dass die Rückkehr der Beschwerdeführerin in ihren Heimatstaat mit grosser Wahrscheinlichkeit zu einer raschen und lebensgefährdenden Beeinträchtigung des Gesundheitszustandes führen würde. Wie die Vorinstanz zutreffend ausgeführt hat, ist unbestritten, dass die Beschwerdeführerin jung und gebildet ist (Abschluss einer [...]mittelschule) und über erste Arbeitserfahrungen in verschiedenen Bereichen (Hauswirtschaft und Landwirtschaft) verfügt. Als zukünftige Mutter dürfte der Einstieg in den Arbeitsmarkt zwar nicht einfach, jedoch auch nicht unmöglich sein. Gemäss Akten leben zahlreiche enge Angehörige vor Ort, womit die Beschwerdeführerin klar über soziale Anknüpfungspunkte in ihrem Heimatland verfügt. An diesen Anknüpfungsmöglichkeiten vermag auch nichts zu ändern, dass die Beschwerdeführerin gemäss ihren Angaben von ihrem Vater verstossen worden ist. Ebenfalls unbehilflich ist der Einwand, dass im jetzigen Zeitpunkt noch nicht klar sei, welche ihrer Verwandten ihr auf welche Art und Weise helfen würden. Auch dass ihr aufgrund der patriarchalen Verhältnisse in ihrer Familie durch diese möglicherweise keine Hilfe zukommt, vermag an den ihr zur Verfügung stehenden Möglichkeiten nichts zu ändern. Es handelt sich dabei um eine erschwerende kulturelle Voraussetzung, aufgrund welcher jedoch nicht angenommen werden muss, dass der Beschwerdeführerin jeglicher Kontakt zu ihren Verwandten verwehrt bleiben wird. Ihre finanzielle Situation ist zwar mit Unsicherheiten behaftet, aber keinesfalls prekär, zumal in einer ersten Phase auch finanzielle Unterstützung durch Verwandte in Frage kommen dürfte. Auch Sozialhilfe zu erhalten, ist gemäss den eingereichten Länderberichten nicht unmöglich. Auch wenn gewisse wirtschaftliche Schwierigkeiten nicht ausgeschlossen werden können, ist nach dem Gesagten im Sinne der vorinstanzlichen Erwägungen nicht zu erwarten, dass sie in eine existenzgefährdende Lage geraten und ihr Armut und Hunger drohen würden. Insgesamt erweist sich der Vollzug der Wegweisung auch als zumutbar.</w:t>
      </w:r>
    </w:p>
    <w:p>
      <w:r>
        <w:rPr>
          <w:b/>
        </w:rPr>
        <w:t>E. 6.8</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6.9</w:t>
      </w:r>
    </w:p>
    <w:p>
      <w:r>
        <w:t>Zusammenfassend hat die Vorinstanz den Wegweisungsvollzug zu Recht als zulässig, zumutbar und möglich bezeichnet. Eine Anordnung der vorläufigen Aufnahme fällt somit ausser Betracht (Art. 83 Abs. 1-4 AuG).</w:t>
      </w:r>
    </w:p>
    <w:p>
      <w:r>
        <w:rPr>
          <w:b/>
        </w:rPr>
        <w:t>E. 6.10</w:t>
      </w:r>
    </w:p>
    <w:p>
      <w:r>
        <w:t>Bei diesem Ergebnis geht auch die gerügte Verletzung von Art. 3 KRK fehl. Da das Kind noch nicht geboren ist, in Bosnien und Herzegowina aufwachsen wird und die Rückkehr der Beschwerdeführerin als zulässig, zumutbar und möglich erachtet wird, ist nicht ersichtlich, inwiefern die Vorinstanz das Kindeswohl verletzt haben sollte.</w:t>
      </w:r>
    </w:p>
    <w:p>
      <w:r>
        <w:rPr>
          <w:b/>
        </w:rPr>
        <w:t>E. 7</w:t>
      </w:r>
    </w:p>
    <w:p>
      <w:r>
        <w:t>Gemäss Art. 45 Abs. 2 AsylG ist mit der Wegweisungsverfügung eine angemessene Ausreisefrist zwischen sieben und dreissig Tagen anzusetzen. Eine längere Ausreisefrist ist anzusetzen oder die Ausreisefrist wird verlängert, wenn besondere Umstände wie die familiäre Situation, gesundheitliche Probleme oder eine lange Aufenthaltsdauer dies erfordern. Die Beschwerdeinstanz weist die Vorinstanz nur im Falle offensichtlicher Unangemessenheit an, die Ausreisefrist neu festzulegen und übt Zurückhaltung bei der Bestimmung einer angemessenen Ausreisefrist (vgl. BVGE 2011/28 E. 6.5, Entscheidungen und Mitteilungen der Schweizerischen Asylrekurskommission AKR [EMARK] 2004 Nr. 27 E. 5). Die Ausreisefrist wurde von der Vorinstanz auf einen Tag nach Eintritt der Rechtskraft der angefochtenen Verfügung festgesetzt. Hinsichtlich der angemessenen Ausreisefrist setzt das Gericht die diesbezügliche Praxis der damaligen ARK fort. Angesichts des kurzen Zeitablaufs seit der am 5. Dezember 2016 erlassenen vorinstanzlichen Verfügung ist die angesetzte kurze Ausreisefrist nicht offensichtlich unangemessen (vgl. BVGE 2011/28 E. 6.5.). Die diesbezügliche Rüge ist demnach abzuweisen.</w:t>
      </w:r>
    </w:p>
    <w:p>
      <w:r>
        <w:rPr>
          <w:b/>
        </w:rPr>
        <w:t>E. 8</w:t>
      </w:r>
    </w:p>
    <w:p>
      <w:r>
        <w:t>Der Antrag, es sei durch den Erlass einer Zwischenverfügung festzustellen, dass die Beschwerdeführerin den Ausgang des Verfahrens in der Schweiz abwarten dürfe, ist mit vorliegendem Entscheid gegenstandslos geworden.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Die gestellten Begehren haben sich als aussichtslos erwiesen, weshalb die Gesuche um unentgeltliche Rechtspflege und der unentgeltlichen Rechtsverbeiständung in Anwendung von Art. 65 Abs. 1 VwVG und Art. 110a Abs. 1 AsylG abzuweisen sind. Das Gesuch um Kostenvorschussverzicht ist mit dem vorliegenden Urteil gegenstandslos geworden.</w:t>
      </w:r>
    </w:p>
    <w:p>
      <w:r>
        <w:rPr>
          <w:b/>
        </w:rPr>
        <w:t>E. 11</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