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D-7798/2010 vom 22. November 2010</w:t>
      </w:r>
    </w:p>
    <w:p>
      <w:r>
        <w:t>Bundesverwaltungsgericht, 2010-11-22, DE</w:t>
      </w:r>
    </w:p>
    <w:p>
      <w:r>
        <w:rPr>
          <w:b/>
        </w:rPr>
        <w:t xml:space="preserve">Quelle: </w:t>
      </w:r>
      <w:r>
        <w:t>https://mcp.opencaselaw.ch/entscheid/bvger_D-7798_2010</w:t>
      </w:r>
    </w:p>
    <w:p>
      <w:r>
        <w:t>FR: TAF D-7798/2010 du 22 novembre 2010</w:t>
      </w:r>
    </w:p>
    <w:p>
      <w:r>
        <w:t>IT: TAF D-7798/2010 del 22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Gemäss Art. 32 Abs. 4 des Geschäftsreglements vom 17. April 2008 für das Bundesverwaltungsgericht (VGR, SR 173.320.1) regeln die Abteilungen, ob und in welcher Form den Parteien die Zusammensetzung des Spruchkörpers bekannt gegeben wird. Der entsprechende Koordinationsbeschluss lautet wie folgt: "In den Abteilungen IV und V wird in der Regel die Besetzung des Spruchkörpers den Parteien erst durch das Urteil mitgeteilt (vgl. Art. 32 Abs. 4 VGR)". Dies wurde dem Rechtsvertreter des Beschwerdeführers mit Schreiben der Präsidien der Abteilungen IV und V vom 1. Juli 2010 mitgeteilt. Der Rechtsvertreter des Beschwerdeführers liess sich indes nicht durch das an ihn versendete Schreiben vom 1. Juli 2010 der Abteilungspräsidenten IV und V davon abhalten, in seiner Rechtsmitteleingabe vom 4. November 2010 unverzagt ein weiteres Gesuch um vorgängige Bekanntgabe des Spruchgremiums sowie des Gerichtsschreibers zu stellen. Insoweit bestätigt er den "deutlichen" Eindruck der Abteilungspräsidenten IV und V, es gehe ihm darum, "die richterliche Entscheidfindung zu stören, Verfahrensverzögerungen zu bewirken oder ihm nicht genehme Richterinnen und Richter aus den Spruchkörpern seiner Rechtsmittelverfahren zu verbannen" (vgl. obgenanntes Schreiben vom 1. Juli 2010 der Abteilungspräsidenten IV und V). Bei dieser Ausgangslage und insbesondere angesichts des vorliegenden Urteils in der Hauptsache ohne vorgängiges Instruktionsverfahren erscheint es verfehlt, dem obgenannten Gesuch ausnahmsweise stattzugeben, zumal in casu auch keine besonderen Gründe zugunsten einer vorgängigen Bekanntgabe des Spruchgremiums ins Feld geführt werden können; es ist demnach abzuweisen.</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In seiner Beschwerdebegründung lässt der Beschwerdeführer im Wesentlichen geltend machen, die zur Begründung der Unglaubhaftigkeit der Vorbringen herangezogenen Elemente könnten nicht greifen und seien vielmehr Ausdruck von unvollständigen und unrichtigen Sachverhaltsabklärungen. Es liege eine Verletzung von formellen Verfahrensvorschriften durch das BFM vor, weil sich die Vorinstanz zu Unrecht auf Vorbringen der Tochter, welche wegen der Anwesenheit von Männern anlässlich der Befragungen von Unwohlsein geplagt gewesen sei, abgestützt habe. In diesem Zusammenhang werde auf die Beschwerdebegründung im Verfahren der Tochter verwiesen. Auch im Verfahren des Beschwerdeführers sei der rechtserhebliche Sachverhalt weder vollständig noch richtig abgeklärt worden. Der Beschwerdeführer habe bereits anlässlich der Anhörungen darauf hingewiesen, dass er Diabetiker sei und vor seiner Reise in die Schweiz während sechs Monaten keine Medikamente mehr zu sich habe nehmen können. Er leide dementsprechend unter Bluthochdruck, Augenproblemen und Gedächtnisverlust. Entgegen der pauschalen Formulierung des BFM, wonach auch Leute mit Diabetes zentrale Punkte detailliert und zusammenhängend berichten könnten, sei es ein medizinisches Faktum, dass Diabetes zu dauerhaften Gedächtnisproblemen führe, wenn diese Krankheit längere Zeit unbehandelt bleibe. Die Erinnerungslücken und fehlerhaften Angaben des Beschwerdeführers seien keinesfalls darauf zurückzuführen, dass er das Berichtete nicht erlebt habe. Vielmehr sei sein Erinnerungsvermögen infolge Diabetes eingeschränkt. Dies müsse zwangsläufig zu weiteren Abklärungen führen. Da immer noch kein ärztlicher Bericht vorliege, sei bei Aufhebung der angefochtenen Verfügung somit eine ausreichende Frist zur Einreichung eines entsprechenden Gutachtens zu gewähren. Die angeblichen Widersprüchlichkeiten und fehlenden Details in den Vorbringen des Beschwerdeführers seien einerseits auf das formell fehlerhaft durchgeführte Verfahren der Tochter des Beschwerdeführers sowie auf seine Gedächtnisprobleme infolge jahrelang unbehandelter Diabetes zurückzuführen und könnten daher nicht zur Begründung der Unglaubhaftigkeit seiner Aussagen herangezogen werden. Damit ergebe sich aus den Akten, dass der Beschwerdeführer in asylrechtlich relevanter Weise in Sri Lanka verfolgt werde, weil er selbst und seine Kinder, gegebenenfalls auch Verwandte, für die LTTE tätig gewesen seien. Schliesslich sei der Vollzug der Wegweisung nach Sri Lanka unzumutbar. Auch in diesem Zusammenhang sei ein ärztliches Gutachten notwendig, da nur eine Fachperson die Schwere der Krankheit und Prognose bei einer Rückkehr einschätzen könne.</w:t>
      </w:r>
    </w:p>
    <w:p>
      <w:r>
        <w:rPr>
          <w:b/>
        </w:rPr>
        <w:t>E. 6.2</w:t>
      </w:r>
    </w:p>
    <w:p>
      <w:r>
        <w:t>Diese Vorbringen in der Beschwerdeschrift vermögen indessen nicht zu einer veränderten Betrachtungsweise zu führen, zumal der Beschwerdeführer aus den Rügen im Beschwerdeverfahren seiner Tochter nichts zu seinen Gunsten ableiten kann, wird doch deren Beschwerde mit Urteil gleichen Datums abgewiesen. Auch das im vorliegenden Beschwerdeverfahren geltend gemachte medizinische Problem des Beschwerdeführers, Zuckerkrankheit (Diabetes) nebst Folgeerkrankungen wie Bluthochdruck, Augenprobleme und namentlich "Gedächtnisverlust", führt in casu nicht zu einer veränderten Betrachtungsweise. Wie nämlich aus den von ihm selbst eingereichten Beschwerdebeilagen 7 (zwei Internetausdrucke zum Thema Diabetes und Gedächtnis) hervorgeht, gibt es zwar einen Zusammenhang zwischen Zuckerkrankheit und Gedächtnisleistung. Doch kann der Beschwerdeführer aus derartigen Erkenntnissen nichts zu seinen Gunsten ableiten, belegen doch beide Internetauszüge lediglich eine ungünstige Auswirkung auf das Kurzzeitgedächtnis. Dementsprechend müsste der Beschwerdeführer in der Lage sein, länger zurückliegende Ereignisse wie die geltend gemachte Verfolgungssituation immer noch zutreffend aus dem Gedächtnis abzurufen und darüber substanziiert und im Wesentlichen widerspruchsfrei zu berichten. Wenn also bei ihm tatsächlich eine - bislang nicht diagnostizierte - Alzheimererkrankung oder eine Veränderung des Cortisol-Spiegels vorläge, bestünde seine Schwierigkeit lediglich darin, sich anlässlich der Direktanhörung zuverlässig an seine früheren Vorbringen anlässlich der BzP zu erinnern. Eine derartige Verschlechterung der Gedächtnisleistung im Bereich des Kurzzeitgedächtnisses erleichtert naturgemäss die Beurteilung der Frage, ob der Beschwerdeführer bei seinen Schilderungen auf Erinnerungen an tatsächliche Begebenheiten zurückgreifen konnte. Gleichzeitig ist auch offensichtlich, dass der geltend gemachte "Gedächtnisverlust" der Ermittlung des wahren Sachverhalts keinesfalls entgegensteht, weshalb im Rahmen einer antizipierten Beweiswürdigung auf den konkreten Nachweis einer Beeinträchtigung des Kurzzeitgedächtnisses verzichtet werden kann. Dementsprechend muss sich der Beschwerdeführer bei seinen zahlreichen widersprüchlichen und unsubstanziierten Vorbringen behaften lassen. Zur Vermeidung von Wiederholungen wird in diesem Zusammenhang auf die zutreffenden Erwägungen in der angefochtenen Verfügung verwiesen.</w:t>
      </w:r>
    </w:p>
    <w:p>
      <w:r>
        <w:rPr>
          <w:b/>
        </w:rPr>
        <w:t>E. 6.3</w:t>
      </w:r>
    </w:p>
    <w:p>
      <w:r>
        <w:t>Bei dieser Sachlage besteht kein Anlass, die angefochtene Verfügung des BFM zu kassieren und zu neuem Entscheid an die Vorinstanz zurückzuweisen oder weitere Beweise zu erheben und Abklärungen zu treffen. Zusammenfassend ist festzustellen, dass beim Beschwerdeführer keine Verfolgung im Sinne von Art. 3 AsylG vorliegt und er nicht als Flüchtling anerkannt werden kann. Mangels erfüllter Flüchtlingseigenschaft ist ihm zu Recht das nachgesuchte Asyl nicht gewährt worden.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8.5</w:t>
      </w:r>
    </w:p>
    <w:p>
      <w:r>
        <w:t>Das Bundesverwaltungsgericht nahm im Urteil BVGE 2008/2 zur Frage der Zumutbarkeit des Wegweisungsvollzugs abgewiesener Asylsuchender tamilischer Ethnie eine Lageanalyse vor. Gemäss der diesbezüglich festgelegten Praxis setzt die Anerkennung einer innerstaatlichen Aufenthaltsalternative im Süden des Landes und damit die Zumutbarkeit des Wegweisungsvollzugs in den Grossraum Colombo für srilankische Asylsuchende tamilischer Ethnie, welche aus der Nord- oder Ostprovinz stammen, das Vorliegen besonders begünstigender Faktoren wie die Existenz eines tragfähigen familiären oder sozialen Beziehungsnetzes sowie die Aussicht auf eine gesicherte Einkommens- und Wohnsituation voraus (a.a.O., E. 7.6.2). Für srilankische Asylsuchende tamilischer Ethnie, welche aus dem Grossraum Colombo oder dessen Umgebung stammen und dort über ein tragfähiges Familien- oder Beziehungsnetz verfügen und mit einer konkreten Unterkunftsmöglichkeit rechnen können, ist grundsätzlich von der Zumutbarkeit des Wegweisungsvollzugs in diese Gebiete auszugehen, wobei die Dauer der Landesabwesenheit mitzuberücksichtigen ist; je kürzer der Aufenthalt in Colombo dauerte und je weiter er zeitlich zurückliegt, desto höhere Anforderungen sind an das Vorliegen eines tatsächlichen familiären oder sozialen Beziehungsnetzes zu stellen (a.a.O., E.7.6.1). Der Ende Mai 2009 durch die militärische Niederlage der LTTE beendete bewaffnete Konflikt hat die Situation für rückkehrende Tamilinnen und Tamilen jedenfalls nicht verschlechtert. Der den Akten zufolge an Diabetes leidende Beschwerdeführer hat sich eigenen Angaben zufolge vor seiner Ausreise im April 2009 lediglich einen Monat in Colombo aufgehalten (A1/10 Ziff. 16 S. 6), doch können die entsprechenden Vorbringen nicht geglaubt werden, weil er sich bezüglich seines Lebenslaufs in krasse Unstimmigkeiten verstrickte, und weil er es zudem unterliess, seine srilankische Identitätskarte, auf der seine Adresse ersichtlich wäre, zu den Akten zu reichen, dies mit der gleichfalls unglaubhaften Begründung, er habe sie vor Jahren verloren (A1/10 Ziff. 13.2 S. 4) und keinen Ersatz beschafft. In Anbetracht der Sachlage ist davon auszugehen, er habe sich schon längere Zeit in Colombo aufgehalten, wo eine Schwester und zahlreiche Verwandte seiner verstorbenen Ehefrau leben (A1/10 Ziff. 11 S. 3, A10/14 S. 3 und 4). Diese Personen vor Ort wie auch seine im Ausland lebenden Verwandten können ihn unterstützen, gegebenenfalls auch die Tochter, deren Beschwerde mit Urteil gleichen Datums abgewiesen wird. Im Übrigen stellt die weitere Behandlung der Zuckerkrankheit des Beschwerdeführers in Colombo kein Problem dar, weshalb es sich erübrigt, ein medizinisches Gutachten zum Wegweisungsvollzug einzuholen. Schliesslich hat der Beschwerdeführer die Möglichkeit, im Rahmen von Art. 93 Abs. 1 Bst. d AsylG um medizinische Rückkehrhilfe zu ersuchen. Nach dem Gesagten erweist sich Vollzug der Wegweisung somit auch als zumutbar.</w:t>
      </w:r>
    </w:p>
    <w:p>
      <w:r>
        <w:rPr>
          <w:b/>
        </w:rPr>
        <w:t>E. 8.6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dem Beschwerdeführer aufzuerlegen (Art. 63 Abs. 1 und 5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