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D-7796/2009 vom 24. Dezember 2009</w:t>
      </w:r>
    </w:p>
    <w:p>
      <w:r>
        <w:t>Bundesverwaltungsgericht, 2009-12-24, DE</w:t>
      </w:r>
    </w:p>
    <w:p>
      <w:r>
        <w:rPr>
          <w:b/>
        </w:rPr>
        <w:t xml:space="preserve">Quelle: </w:t>
      </w:r>
      <w:r>
        <w:t>https://mcp.opencaselaw.ch/entscheid/bvger_D-7796_2009</w:t>
      </w:r>
    </w:p>
    <w:p>
      <w:r>
        <w:t>FR: TAF D-7796/2009 du 24 décembre 2009</w:t>
      </w:r>
    </w:p>
    <w:p>
      <w:r>
        <w:t>IT: TAF D-7796/2009 del 24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Die Beschwerdeführenden sind durch die angefochtene Verfügung besonders berührt und haben ein schutzwürdiges Interesse an deren Aufhebung beziehungsweise Änderung; sie sind daher zur Einreichung der Beschwerde legitimiert (Art. 105 AsylG i.V.m.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Prüfung der Akten durch das Gericht ist - in Übereinstimmung mit der Vorinstanz - festzustellen, dass die Vorbringen der Beschwerdeführenden den Anforderungen an die Glaubhaftigkeit gemäss Art. 7 AsylG nicht standzuhalten vermögen, weshalb diesbezüglich vorab auf die ausführlichen und zutreffenden vorinstanzlichen Erwägungen zu verweisen ist (vgl. Ziffer I; Bst. J. vorstehend). Zur Behauptung in der Rechtsmittelschrift, wonach der Beschwerdeführer durch das Erlebte schwer traumatisiert sei, weshalb er sich nur noch bruchstückhaft erinnern könne und Ereignisse immer wieder durcheinanderbringe, ist Folgendes festzustellen: Abgesehen davon, dass die Beschwerdeführenden - trotz Zumutbarkeit - unterlassen haben, die Traumatisierung des Beschwerdeführers mit einem ärztlichen Zeugnis zu belegen, können den Befragungsprotokollen keine Hinweise entnommen werden, dass der Beschwerdeführer aus gesundheitlichen Gründen nicht in der Lage gewesen wäre, seine Asylgründe vorzutragen. Soweit in der Beschwerde zudem geltend gemacht wird, der Beschwerdeführerin könne nicht vorgehalten werden, dass sie über ihre früheren Aufenthalte in Deutschland unpräzise Angaben gemacht habe, ist festzuhalten, dass diese Aussage mit keinem Wort begründet wird, weshalb darauf verzichtet werden kann, diesbezüglich darauf einzugehen. Auch die übrigen Beschwerdevorbringen sind nicht geeignet, zu einer von der Vorinstanz abweichenden Betrachtungsweise zu führen, zumal die Beschwerdeführenden den vorinstanzlichen Erwägungen nichts Substanzielles entgegenhalten und im Wesentlichen lediglich am Wahrheitsgehalt der im vorinstanzlichen Verfahren geltend gemachten Vorbringen festhalten beziehungsweise es bei der blossen Wiedergabe des bereits behaupteten Sachverhalts bewenden lassen, was aber an der offensichtlichen Unglaubhaftigkeit der behaupteten Verfolgungsvorbringen nichts zu ändern vermag.</w:t>
      </w:r>
    </w:p>
    <w:p>
      <w:r>
        <w:rPr>
          <w:b/>
        </w:rPr>
        <w:t>E. 5.2</w:t>
      </w:r>
    </w:p>
    <w:p>
      <w:r>
        <w:t>Zusammenfassend ist festzuhalten, dass es den Beschwerdeführenden nicht gelungen ist, nachzuweisen oder zumindest glaubhaft zu machen, dass sie in der Heimat ernsthafte Nachteile gemäss Art. 3 AsylG erlitten haben oder solche bei der Ausreise zu befürchten hatten oder im Falle der Rückkehr nach Georgien befürchten müssten. Die Beschwerdeführenden vermögen mit ihren Beschwerdevorbringen zu keiner anderen Betrachtungsweise zu führen. Sie erfüllen somit die Voraussetzungen zur Zuerkennung der Flüchtlingseigenschaft nicht, weshalb die Vorinstanz die Asylbegehren zu Recht und ohne weitere Abklärungen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nach Georgien ist demnach unter dem Aspekt von Art. 5 AsylG rechtmässig. Sodann ergeben sich weder aus den Aussagen der Beschwerdeführenden noch aus den Akten Anhaltspunkte dafür, dass sie für den Fall einer Ausschaffung nach Georgien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Dies ist ihnen nach den vorstehenden Erwägungen nicht gelungen. Auch die allgemeine Menschenrechtssituation in Georgien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Weder die allgemeine Lage in Georgien noch die persönliche Situation der Beschwerdeführenden lassen im Falle einer Rückkehr auf eine konkrete Gefährdung schliessen. Sodann bestehen auch keine anderen Hinweise, dass die Beschwerdeführenden bei einer Rückkehr in den Heimatstaat in eine konkrete, ihre Existenz bedrohende Situation geraten könnten. Die Beschwerdeführenden haben in ihrer Heimat ein familiäres Beziehungsnetz, leben doch unter anderem die Eltern sowie die Geschwister der Beschwerdeführerin nach wie vor in Georgien (act. A 2/10, S. 3). Zudem verfügen die Beschwerdeführenden über eine Ausbildung als Zahntechniker beziehungsweise als Journalistin, weshalb davon ausgegangen werden kann, sie könnten sich in ihrer Heimat eine neue Existenz aufbauen. Bezüglich der behaupteten schweren Traumatisierung des Beschwerdeführers ist schliesslich festzustellen, dass es die Beschwerdeführenden - trotz Zumutbarkeit - unterlassen haben, dies durch ein ärztliches Zeugnis zu belegen, weshalb davon auszugehen ist, der Gesundheitszustand des Beschwerdeführers stehe einem Vollzug der Wegweisung nicht entgegen. Angesichts der gesamten Umstände kann der Vollzug der Wegweisung daher auch als zumutbar bezeichnet werden.</w:t>
      </w:r>
    </w:p>
    <w:p>
      <w:r>
        <w:rPr>
          <w:b/>
        </w:rPr>
        <w:t>E. 7.6</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den Beschwerdeführenden aufzuerlegen (Art. 63 Abs. 1 und 5 VwVG) und auf insgesamt Fr. 600.--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