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D-7792/2015 vom 23. Juni 2017</w:t>
      </w:r>
    </w:p>
    <w:p>
      <w:r>
        <w:t>Bundesverwaltungsgericht, 2017-06-23, DE</w:t>
      </w:r>
    </w:p>
    <w:p>
      <w:r>
        <w:rPr>
          <w:b/>
        </w:rPr>
        <w:t xml:space="preserve">Quelle: </w:t>
      </w:r>
      <w:r>
        <w:t>https://mcp.opencaselaw.ch/entscheid/bvger_D-7792_2015</w:t>
      </w:r>
    </w:p>
    <w:p>
      <w:r>
        <w:t>FR: TAF D-7792/2015 du 23 juin 2017</w:t>
      </w:r>
    </w:p>
    <w:p>
      <w:r>
        <w:t>IT: TAF D-7792/2015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der Beschwerdeführenden mit der "Eurodac"-Datenbank ergab, dass diese am (...) in Ungarn ein Asylgesuch eingereicht hatten. Die ungarischen Behörden hiessen das Ersuchen des SEM um Wiederaufnahme der Beschwerdeführenden gut, womit sie die Zuständigkeit Ungarns anerkannten. Die grundsätzliche Zuständigkeit Ungarns ist somit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Vorbringen in der Beschwerde vom 2. Dezember 2015 zu beurteilen. Die angefochtene Verfügung ist folglich aufzuheben und die Sache zur vollständigen Sachverhaltsfeststellung sowie zur neuen Entscheidung an die Vorinstanz zurückzuweisen. Die Beschwerde ist demnach gutzuheissen, ohne dass auf die weiteren Beschwerdevorbringen, die beiden Vernehmlassungen des SEM und die Replik eingegangen werden müsste. 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6.4</w:t>
      </w:r>
    </w:p>
    <w:p>
      <w:r>
        <w:t>Angesichts dieses Verfahrensausganges kann auf eine Replik zur zweiten Vernehmlassung des SEM vom 13. April 2016 verzichtet werden, da sie an den vorliegenden Erwägungen und der Schlussfolgerung nichts zu ändern vermöchte. Den Beschwerdeführenden wird mit dem vorliegenden Urteil ein Doppel dieser Vernehmlassung zur Kenntnis zugestellt.</w:t>
      </w:r>
    </w:p>
    <w:p>
      <w:r>
        <w:rPr>
          <w:b/>
        </w:rPr>
        <w:t>E. 7.1</w:t>
      </w:r>
    </w:p>
    <w:p>
      <w:r>
        <w:t>Da sich die Beschwerde nicht als aussichtslos erwiesen hat und die Beschwerdeführenden aufgrund der nachträglichen Einreichung der Fürsorgebestätigung als bedürftig gelten, ist das Gesuch um Gewährung der unentgeltlichen Prozessführung im Sinne von art. 65 Abs. 1 VwVG gutzuheissen. Unter diesen Umständen sind keine Verfahrenskosten zu erheben.</w:t>
      </w:r>
    </w:p>
    <w:p>
      <w:r>
        <w:rPr>
          <w:b/>
        </w:rPr>
        <w:t>E. 7.2</w:t>
      </w:r>
    </w:p>
    <w:p>
      <w:r>
        <w:t>Die Beschwerdeinstanz kann der ganz oder teilweise obsiegenden Partei von Amtes wegen oder auf Begehren eine Entschädigung für ihr erwachsene notwendig und verhältnismässig hohe Kosten zusprechen (Art. 64 Abs. 1 VwVG i.V.m. Art. 7 des Reglements vom 21. Februar 2008 über die Kosten und Entschädigungen vor dem Bundesverwaltungsgericht [VGKE, SR 173.320.2]). Die Beschwerdeführenden obsiegen mit der Kassation im Eventualantrag. In der am 20. Januar 2016 eingereichten Honorarnote wurde auf der Basis eines Stundenhonorars von Fr. 200.- ein Aufwand von Fr. 1'665.- (inkl. Auslagen) geltend gemacht. Dies scheint angemessen zu sein. Den Beschwerdeführenden ist somit eine Parteientschädigung von insgesamt Fr. 1'665.- zu Lasten des SEM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