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D-7787/2010 vom 9. Dezember 2010</w:t>
      </w:r>
    </w:p>
    <w:p>
      <w:r>
        <w:t>Bundesverwaltungsgericht, 2010-12-09, DE</w:t>
      </w:r>
    </w:p>
    <w:p>
      <w:r>
        <w:rPr>
          <w:b/>
        </w:rPr>
        <w:t xml:space="preserve">Quelle: </w:t>
      </w:r>
      <w:r>
        <w:t>https://mcp.opencaselaw.ch/entscheid/bvger_D-7787_2010</w:t>
      </w:r>
    </w:p>
    <w:p>
      <w:r>
        <w:t>FR: TAF D-7787/2010 du 9 décembre 2010</w:t>
      </w:r>
    </w:p>
    <w:p>
      <w:r>
        <w:t>IT: TAF D-7787/2010 del 9 dicembre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c Ziff. 1 und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somit einzutreten (Art. 108 Abs. 1 AsylG sowie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Bei diesem Entscheid gelten restriktive Voraussetzungen für die Erteilung einer Einreisebewilligung, wobei den Behörden ein weiter Ermessensspielraum zukommt (vgl.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2004 Nr. 21 E. 2b S. 137, EMARK 2004 Nr. 20 E. 3b S. 130 f., EMARK 1997 Nr. 15 E. 2f S. 131 f.).</w:t>
      </w:r>
    </w:p>
    <w:p>
      <w:r>
        <w:rPr>
          <w:b/>
        </w:rPr>
        <w:t>E. 6.1</w:t>
      </w:r>
    </w:p>
    <w:p>
      <w:r>
        <w:t>Die Beschwerdeführerin begründete ihr Asylgesuch zunächst damit, sie werde seit ihrer im November 2009 erfolgten Rückkehr an ihren Heimatort F.__________ (Jaffna) zwei bis drei Male pro Monat von Angehörigen des CID und der paramilitärischen Gruppierung EPDP belästigt und über die Aktivitäten ihres Mannes innerhalb der LTTE befragt. Folgt man den Darlegungen der Beschwerdeführerin, so war ihr Mann bis 2004 für die LTTE als Busfahrer tätig und führte für diese gegen Entgelt Schreinerarbeiten aus. Demgegenüber verneinte sie auf entsprechende Fragen anlässlich ihrer Anhörung in der Botschaft hin, dass ihr Ehemann jemals als Kämpfer in den Reihen der LTTE gewirkt habe, zumal ihn die Tigers als Familienvater nie in entsprechender Absicht angegangen hätten (vgl. act. A6/11 S. 4 Ziff. 8.1.). So besehen weist der Ehemann der Beschwerdeführerin kein politisches Profil auf, das die staatlichen Behörden vernünftigerweise dazu verhalten könnte, sich immer noch für seine Person zu interessieren. Nach dem militärischen Sieg der srilankischen Regierung über die LTTE im Mai 2009 dürften die srilankischen Behörden nicht darin interessiert sein, sämtliche Zivilisten, welche früher im Herrschaftsgebiet der LTTE gelebt und damit automatisch gezwungen waren, in irgendeiner Weise mit dieser zu kooperieren, weiterhin zu belästigen. Ihr Ziel besteht vielmehr darin, insbesondere versprengte ehemalige Kämpfer und Kaderangehörige der LTTE dingfest zu machen, um dergestalt eine Neuformierung der LTTE zu erschweren. Angesichts der unbedeutenden Position des Ehemannes der Beschwerdeführerin innerhalb der LTTE ist tatsächlich - wie die Vorinstanz zutreffend vermerkt hat - nicht ersichtlich, weshalb Angehörige der EPDP beziehungsweise des CID die Beschwerdeführerin seit November 2009 im behaupteten Ausmass wegen ihres Ehemannes hätten belästigen sollen. Vor diesem Hintergrund liegt die Annahme nahe, dass die Beschwerdeführerin ihre diesbezügliche Situation zumindest stark überzeichnet hat. Hierfür spricht im Ergebnis auch die Tatsache, dass sie im Rahmen der Befragung in der Botschaft zum Ausdruck gebracht hat, vornehmlich zwecks medizinischer Behandlung ihres zweitjüngsten Kindes sowie zur Vorbereitung der Unterlagen für ihren Asylantrag nach Colombo gereist zu sein (vgl. act. A6/11 S. 6). Es ist deshalb davon auszugehen, dass die angeblichen Behelligungen der Beschwerdeführerin durch Angehörige der EPDP und des CID seit November 2009 nicht derart intensiv gewesen sind, als dass von einer Gefährdung im Sinne von Art. 3 AsylG gesprochen werden könnte, aufgrund der ihr die Einreise in die Schweiz bewilligt müsste.</w:t>
      </w:r>
    </w:p>
    <w:p>
      <w:r>
        <w:rPr>
          <w:b/>
        </w:rPr>
        <w:t>E. 6.2</w:t>
      </w:r>
    </w:p>
    <w:p>
      <w:r>
        <w:t>Soweit die Beschwerdeführerin auf ihr erfahrenes Leid im Bürgerkrieg, ihre aktuell misslichen Lebensumstände als alleinerziehende Mutter von vier Kindern und die Notwendigkeit einer spezialärztlichen Betreuung ihres nach wie vor an einer Kriegsverletzung leidenden zweitjüngsten Kindes hinweist, spricht sie - so bedauerlich ihr Schicksal als Einzelperson im langjährigen Bürgerkrieg in Sri Lanka auch erscheinen mag - Sachumstände an, welche im Rahmen eines ordentlichen Asylverfahrens in der Schweiz grundsätzlich nur unter dem Gesichtspunkt der Zumutbarkeit des Wegweisungsvollzugs zu prüfen wären (vgl. EMARK 2003 Nr. 24 E. 5a, 5b und 5e S. 157 ff.). Die schweizerische Gesetzgebung sieht indessen gerade nicht vor, dass Asylsuchenden, die ihr Gesuch im Ausland stellen, unabhängig von einer Gefährdung im Sinne von Art. 3 AsylG - und damit der Aussicht auf Asylgewährung in der Schweiz - die Einreise schon deshalb zu bewilligen ist, weil sie im Heimat- oder Herkunftsstaat wegen Krieg, Bürgerkrieg, allgemeiner Gewalt oder einer medizinischen oder wirtschaftlichen Notlage konkret gefährdet sind. Ganz abgesehen hiervon deutet die Tatsache, dass die Beschwerdeführerin in F.__________ Lebensmittelhilfe erhält und bereits verschiedentlich, wenngleich bloss temporär, zusammen mit ihren Kindern bei Bekannten in Colombo gelebt und dort auch medizinische Unterstützung für ihr verletztes Kind erhalten hat, darauf hin, dass sie nicht vollkommen auf sich allein gestellt und damit keiner eigentlichen Notlage ausgesetzt ist.</w:t>
      </w:r>
    </w:p>
    <w:p>
      <w:r>
        <w:rPr>
          <w:b/>
        </w:rPr>
        <w:t>E. 6.3</w:t>
      </w:r>
    </w:p>
    <w:p>
      <w:r>
        <w:t>Zusammenfassend ist festzustellen, dass es den Beschwerdeführenden nicht gelungen ist, eine Verfolgung im Sinne von Art. 3 AsylG glaubhaft zu machen. Es erübrigt sich daher, auf weitere Vorbringen in der Beschwerde einzugehen, da diese keine neuen Begründungselemente enthalten, welche geeignet wären, die Einschätzung des BFM entscheidend zu relativieren. Das BFM hat demnach den Beschwerdeführenden zu Recht die Einreise in die Schweiz verweigert beziehungsweise deren Asylgesuche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den Beschwerdeführenden aufzuerlegen (Art. 63 Abs. 1 VwVG). Aus verwaltungsökonomischen Gründen und in Anwendung von Art. 63 Abs. 1 in fine VwVG und Art. 2 und 3 Bst. a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