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D-7780/2007 vom 10. Februar 2010</w:t>
      </w:r>
    </w:p>
    <w:p>
      <w:r>
        <w:t>Bundesverwaltungsgericht, 2010-02-10, DE</w:t>
      </w:r>
    </w:p>
    <w:p>
      <w:r>
        <w:rPr>
          <w:b/>
        </w:rPr>
        <w:t xml:space="preserve">Quelle: </w:t>
      </w:r>
      <w:r>
        <w:t>https://mcp.opencaselaw.ch/entscheid/bvger_D-7780_2007</w:t>
      </w:r>
    </w:p>
    <w:p>
      <w:r>
        <w:t>FR: TAF D-7780/2007 du 10 février 2010</w:t>
      </w:r>
    </w:p>
    <w:p>
      <w:r>
        <w:t>IT: TAF D-7780/2007 del 10 febbraio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2</w:t>
      </w:r>
    </w:p>
    <w:p>
      <w:r>
        <w:t>Die angefochtene Verfügung wurde durch die Schweizerische Vertretung in Colombo am 26. Oktober 2007 mit eingeschriebener Postsendung dem Beschwerdeführer eröffnet. Daher wurde mit Rechtsmittelschrift vom 30. Oktober 2007 (Eingang: 2. November 2007) die Frist gewahrt. Die Beschwerde ist somit - abgesehen vom sprachlichen Mangel -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AsylG, Art. 105 AsylG i.V.m. Art. 37 VGG und Art. 48 Abs. 1 sowie Art. 52 VwVG). Auf die Beschwerde ist somit einzutreten.</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der Schweizerischen Asylrekurskommission [ARK] in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Der Beschwerdeführer machte in seinem Asylgesuch vom 22. Januar 2007, seinen übrigen Eingaben sowie der Anhörung vom 3. September 2007 einerseits geltend, er sei in den 1990er Jahren vertrieben worden und andererseits vom 27. Juni 2006 bis zum 8. Dezember 2006 in Haft gewesen.</w:t>
      </w:r>
    </w:p>
    <w:p>
      <w:r>
        <w:rPr>
          <w:b/>
        </w:rPr>
        <w:t>E. 5.2</w:t>
      </w:r>
    </w:p>
    <w:p>
      <w:r>
        <w:t>Hinsichtlich der vorgebrachten Vertreibung in den 1990er Jahren ist festzustellen, dass dieses Vorbringen zu weit zurückliegt, um noch asylrelevant zu sein. Bezüglich der geltend gemachten Haft vom 27. Juni 2006 bis 8. Dezember 2006 ist Folgendes festzuhalten: Gemäss der eingereichten Verfügung des "Chief Magistrate Court" in Colombo vom 6. September 2007 wurde gegen den Beschwerdeführer keine Anklage erhoben, da gegen ihn nicht genügend Beweise vorlagen. Deshalb ist übereinstimmend mit der Vorinstanz davon auszugehen, der Beschwerdeführer werde von der srilankischen Justiz keiner strafrechtlich relevanten Tätigkeit mehr verdächtigt, weshalb er in Sri Lanka diesbezüglich keine weiteren strafrechtlichen Verfolgungsmassnahmen mehr zu befürchten hat. Soweit der Beschwerdeführer in der Rechtsmittelschrift geltend macht, er habe Grund zur Annahme, dass die Polizei versuche, ihn erneut in Schwierigkeiten zu bringen, zumal er am 25. Oktober 2007 in B._______ von der Polizei gestoppt und von einem Polizisten während fast zwei Stunden verhört worden sei, wobei dieser ihm bei seiner Entlassung gedroht habe, ihn erneut zu verhaften, ist festzuhalten, dass dieses Vorbringen nicht geglaubt werden kann. Dies einerseits deshalb, da der Beschwerdeführer anlässlich der Anhörung vom 3. September 2007 zu Protokoll gegeben hat, seit seiner Entlassung aus der Haft am 8. Dezember 2006 keine Probleme mehr mit der Polizei gehabt zu haben (vgl. act. A 8/17, S. 8 ff.), weshalb es unwahrscheinlich ist, dass diese ihn ohne zureichenden Grund verhört haben will. Andererseits ist die Schilderung des Beschwerdeführers bezüglich seiner angeblichen Festnahme und des geltend gemachten anschliessenden Verhörs unsubstanziiert ausgefallen; so fehlen ihr der Detailreichtum und die erforderlichen Realkennzeichen. Soweit der Beschwerdeführer in der Rechtsmittelschrift überdies vorbringt, er werde in B._______ von Paramilitärs gesucht, ist festzustellen, dass auch dieses Vorbringen nicht geglaubt werden kann, zumal er diese Behauptung in keiner Weise substanziiert, weshalb davon auszugehen ist, es handle sich dabei lediglich um den Versuch, eine asylrelevante Verfolgung zu konstruieren beziehungsweise seinem Asylgesuch mehr Nachdruck zu verleihen.</w:t>
      </w:r>
    </w:p>
    <w:p>
      <w:r>
        <w:rPr>
          <w:b/>
        </w:rPr>
        <w:t>E. 5.3.1</w:t>
      </w:r>
    </w:p>
    <w:p>
      <w:r>
        <w:t>Im Weiteren machte der Beschwerdeführer in seinem Asylgesuch vom 22. Januar 2007, seinen übrigen Eingaben sowie der Anhörung vom 3. September 2007 geltend, er sei nach seiner Freilassung am 8. Dezember 2006 wiederholt von unbekannten Männern zu Hause gesucht worden, wobei diese Männer auch gedroht hätten, ihn zu töten, falls sie ihn sehen würden.</w:t>
      </w:r>
    </w:p>
    <w:p>
      <w:r>
        <w:rPr>
          <w:b/>
        </w:rPr>
        <w:t>E. 5.3.2</w:t>
      </w:r>
    </w:p>
    <w:p>
      <w:r>
        <w:t>In ihrem Grundsatzurteil EMARK 2006 Nr. 18 ist die ARK zum Schluss gekommen, dass eine völkerrechtskonforme Anwendung von Art. 3 AsylG im Lichte der Genfer Flüchtlingskonvention (Abkommen vom 28. Juli 1951 über die Rechtsstellung der Flüchtlinge [FK, SR 0.142.30]) ergibt, dass neben der unmittelbar oder mittelbar staatlichen auch die nichtstaatliche Verfolgung flüchtlingsrechtlich grundsätzlich relevant ist. Mit dieser Praxisänderung erfolgte damit ein Wechsel von der Zurechenbarkeits- zur so genannten Schutztheorie. Nach der Schutztheorie hängt aber die flüchtlingsrechtliche Relevanz einer Verfolgung nicht von der Frage ihres Urhebers, sondern vom Vorhandensein eines adäquaten Schutzes durch den Heimatstaat ab (vgl. EMARK 2006 Nr. 18 E. 6.3.1. und 10.2.1.).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ein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w:t>
      </w:r>
    </w:p>
    <w:p>
      <w:r>
        <w:rPr>
          <w:b/>
        </w:rPr>
        <w:t>E. 5.3.3</w:t>
      </w:r>
    </w:p>
    <w:p>
      <w:r>
        <w:t>Mit Bezug auf die Frage, welche Art und welcher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w:t>
      </w:r>
    </w:p>
    <w:p>
      <w:r>
        <w:rPr>
          <w:b/>
        </w:rPr>
        <w:t>E. 5.3.4</w:t>
      </w:r>
    </w:p>
    <w:p>
      <w:r>
        <w:t>Diese Voraussetzungen sind in Sri Lanka unter Beachtung der konkreten Umstände für den Beschwerdeführer als gegeben zu erachten. Somit hat die Vorinstanz (sinngemäss) richtigerweise festgestellt, dass der Beschwerdeführer die Möglichkeit hat, bei den lokalen Sicherheitsbehörden direkt um Schutz vor den unbekannten Männern zu ersuchen, von denen er gemäss eigenen Angaben bedroht sein will, was er gemäss Aktenlage bis jetzt unterlassen hat. Davon ist insbesondere auch deshalb auszugehen, da dem Beschwerdeführer nicht geglaubt werden kann, dass die Polizei versuche, ihn erneut in Schwierigkeiten zu bringen, wie er das in der Beschwerdeschrift geltend gemacht hat, zumal nicht glaubhaft ist, dass er am 25. Oktober 2007 von der Polizei festgenommen und verhört worden ist (vgl. E. 5.2). An dieser Einschätzung ändert auch das Vorbringen des Beschwerdeführers in seiner Eingabe vom 8. September 2007 nichts, wonach seine Familienmitglieder am 7. September 2007 von unbekannten Personen misshandelt worden seien, insbesondere da seinen Familienmitgliedern ebenfalls die Möglichkeit offen steht, bei den lokalen Sicherheitsbehörden direkt um Schutz zu ersuchen.</w:t>
      </w:r>
    </w:p>
    <w:p>
      <w:r>
        <w:rPr>
          <w:b/>
        </w:rPr>
        <w:t>E. 5.4</w:t>
      </w:r>
    </w:p>
    <w:p>
      <w:r>
        <w:t>Im Weiteren ist festzuhalten, dass aufgrund den Akten nicht anzunehmen ist, der Beschwerdeführer habe von den unbekannten Männern, von denen er bedroht sein will, eine landesweite Behelligung zu befürchten. Es kann somit davon ausgegangen werden, dass sich der Beschwerdeführer durch einen innerstaatlichen Wegzug, allenfalls in den Grossraum Colombo, möglichen Behelligungen durch die unbekannten Männer entziehen kann und sich somit das Bestehen einer innerstaatlichen Fluchtalternative entgegenhalten lassen muss. An dieser Einschätzung vermögen auch die diesbezüglichen Einwendungen in der Beschwerde nichts zu ändern.</w:t>
      </w:r>
    </w:p>
    <w:p>
      <w:r>
        <w:rPr>
          <w:b/>
        </w:rPr>
        <w:t>E. 5.5</w:t>
      </w:r>
    </w:p>
    <w:p>
      <w:r>
        <w:t>Aus dem soeben Gesagten ergibt sich, dass die Vorinstanz die Vorbringen des Beschwerdeführers zutreffend als nicht asylrelevant erachtet und das Asylgesuch des Beschwerdeführers zu Recht abgelehnt hat. Es erübrigt sich deshalb, auf die zahlreich eingereichten Beweismittel weiter einzugehen.</w:t>
      </w:r>
    </w:p>
    <w:p>
      <w:r>
        <w:rPr>
          <w:b/>
        </w:rPr>
        <w:t>E. 6.1</w:t>
      </w:r>
    </w:p>
    <w:p>
      <w:r>
        <w:t>Das BFM hat demnach dem Beschwerdeführer die Einreise in die Schweiz zur Recht verweigert beziehungsweise das Asylgesuch abgelehnt. Zwar erkennt das Bundesverwaltungsgericht, dass die Sicherheitssituation des Beschwerdeführers trotz des vor kurzer Zeit beendeten langjährigen Bürgerkrieges in Sri Lanka generell als schwierig und belastend zu bezeichnen ist. Dieser Umstand betrifft indessen letztlich die Mehrheit der Zivilbevölkerung in Sri Lanka, weshalb die vorinstanzliche Verfügung angesichts der restriktiven Praxis im Bereich der Auslandverfahren, bei denen sich die Frage von allfälligen Wegweisungsvollzugshindernissen gerade nicht stellt, zu bestätigen ist. Zusammenfassend ist festzustellen, dass die Schutzbedürftigkeit des Beschwerdeführers im Sinne von Art. 20 i.V.m. Art. 3 AsylG als nicht gegeben zu qualifizieren ist und auch keine anderen Gründe die Erteilung einer Einreisebewilligung indizieren.</w:t>
      </w:r>
    </w:p>
    <w:p>
      <w:r>
        <w:rPr>
          <w:b/>
        </w:rPr>
        <w:t>E. 6.2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Fr. 600.--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