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D-7743/2016 vom 30. März 2017</w:t>
      </w:r>
    </w:p>
    <w:p>
      <w:r>
        <w:t>Bundesverwaltungsgericht, 2017-03-30, DE</w:t>
      </w:r>
    </w:p>
    <w:p>
      <w:r>
        <w:rPr>
          <w:b/>
        </w:rPr>
        <w:t xml:space="preserve">Quelle: </w:t>
      </w:r>
      <w:r>
        <w:t>https://mcp.opencaselaw.ch/entscheid/bvger_D-7743_2016</w:t>
      </w:r>
    </w:p>
    <w:p>
      <w:r>
        <w:t>FR: TAF D-7743/2016 du 30 mars 2017</w:t>
      </w:r>
    </w:p>
    <w:p>
      <w:r>
        <w:t>IT: TAF D-7743/2016 del 30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Dass dem Beschwerdeführer mit Zwischenverfügung vom 20. Dezember 2016 die unentgeltliche Rechtspflege gewährt worden ist, die Beschwerde also als nicht aussichtslos qualifiziert wurde, steht einer Behandlung der Beschwerde im Verfahren nach Art. 111 Bst. e AsylG nicht entgegen. Dies ist vorliegend deshalb der Fall, weil sich die Beschwerde hier aufgrund neuer Erkenntnisse oder einer geänderten Rechtsauffassung während des Beschwerdeverfahrens als offensichtlich unbegründet erweist.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Somit ist nicht ausgeschlossen, dass eine im Rahmen der Instruktion als nicht aussichtslos beurteilte Beschwerde später als offensichtlich unbegründet abgewiesen wird.</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vorbehaltlich nachfolgender Erwägungen einzutreten.</w:t>
      </w:r>
    </w:p>
    <w:p>
      <w:r>
        <w:rPr>
          <w:b/>
        </w:rPr>
        <w:t>E. 2</w:t>
      </w:r>
    </w:p>
    <w:p>
      <w:r>
        <w:t>Die Kognition des Bundesverwaltungsgerichts und die zulässigen Rügen richten sich im Asylbereich nach Art. 106 Abs. 1 AsylG.</w:t>
      </w:r>
    </w:p>
    <w:p>
      <w:r>
        <w:rPr>
          <w:b/>
        </w:rPr>
        <w:t>E. 3</w:t>
      </w:r>
    </w:p>
    <w:p>
      <w:r>
        <w:t>Der Beschwerdeführer ficht die Ablehnung seines Asylgesuchs nicht an und bezieht die Beschwerdebegründung auf die Anerkennung der Flüchtlingseigenschaft zufolge subjektiver Nachfluchtgründe. Die vorinstanzliche Verfügung ist im Asylpunkt somit unangefochten in Rechtskraft erwachsen, weswegen auch die Wegweisung an sich nicht mehr zu überprüfen ist. Folglich beschränkt sich der Gegenstand des vorliegenden Verfahrens auf die Frage, ob das SEM die Flüchtlingseigenschaft zufolge subjektiver Nachfluchtgründe zu Recht verneint hat.</w:t>
      </w:r>
    </w:p>
    <w:p>
      <w:r>
        <w:rPr>
          <w:b/>
        </w:rPr>
        <w:t>E. 4.1</w:t>
      </w:r>
    </w:p>
    <w:p>
      <w:r>
        <w:t>Nach dem Gesagten ist in der Sache zu prüfen, ob der Beschwerdeführer wegen seiner Ausreise aus Eritrea bei einer Rückkehr dorthin - mithin wegen subjektiver Nachfluchtgründe - befürchten müsste, ernsthaften Nachteilen im Sinne von Art. 3 AsylG ausgesetzt zu werden.</w:t>
      </w:r>
    </w:p>
    <w:p>
      <w:r>
        <w:rPr>
          <w:b/>
        </w:rPr>
        <w:t>E. 4.2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4.3</w:t>
      </w:r>
    </w:p>
    <w:p>
      <w:r>
        <w:t>Der Beschwerdeführer macht geltend, er habe Eritrea illegal verlassen und sei deswegen im Falle einer Rückkehr dorthin an Leib und Leben sowie in seiner Freiheit gefährdet.</w:t>
      </w:r>
    </w:p>
    <w:p>
      <w:r>
        <w:rPr>
          <w:b/>
        </w:rPr>
        <w:t>E. 4.3.1</w:t>
      </w:r>
    </w:p>
    <w:p>
      <w:r>
        <w:t>Die Frage nach der vom SEM eingeleiteten und seitens des Beschwerdeführers beanstandeten Praxisänderung hat das Bundesverwaltungsgericht im Rahmen des (in seinen beiden Asylabteilungen kürzlich koordiniert behandelten) Urteils D-7898/2015 vom 30. Januar 2017 (als Referenzurteil zu publizieren) entschieden. Im besagten Urteil befasste sich das Gericht mit der Frage, ob Eritreerinnen und Eritreer, die ihr Land illegal verlassen hatten, allein deswegen bei einer Rückkehr Verfolgung zu befürchten haben. Es kam dabei zum Schluss, dass sich die bisherige Praxis, wonach eine illegale Ausreise per se zur Flüchtlingseigenschaft führe,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(ebd. E. 5).</w:t>
      </w:r>
    </w:p>
    <w:p>
      <w:r>
        <w:rPr>
          <w:b/>
        </w:rPr>
        <w:t>E. 4.3.2</w:t>
      </w:r>
    </w:p>
    <w:p>
      <w:r>
        <w:t>In Anbetracht der geänderten Rechtsprechung kann die Frage der Glaubhaftigkeit der illegalen Ausreise des Beschwerdeführers vorliegend offen gelassen werden, da in seinem Fall keine zusätzlichen Gefährdungsfaktoren ersichtlich sind. Gemäss eigenen Angaben hatte er vor seiner Ausreise keinen Behördenkontakt hinsichtlich eines allfälligen Einzugs in den Militärdienst (vgl. SEM-Akte, A20/19 F133), so dass er nicht als Deserteur oder Refraktär gelten kann. Auch seine Befürchtung, eines Tages in den Militärdienst einberufen zu werden (vgl. SEM-Akte, A20/19 F132/140), vermag nicht aufzuzeigen, dass er im Fokus der Militärbehörden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Wie bereits erwähnt, vermag die illegale Ausreise allein keine begründete Furcht vor einer zukünftigen flüchtlingsrechtlich relevanten Verfolgung zu begründen.</w:t>
      </w:r>
    </w:p>
    <w:p>
      <w:r>
        <w:rPr>
          <w:b/>
        </w:rPr>
        <w:t>E. 4.4</w:t>
      </w:r>
    </w:p>
    <w:p>
      <w:r>
        <w:t>Es ist dem Beschwerdeführer mithin nicht gelungen, eine relevante Verfolgungsgefahr im Sinne von Art. 3 und Art. 54 AsylG darzutun. Das SEM hat seine Flüchtlingseigenschaft demnach zu Recht verneint, weshalb auch der auf Beschwerdeebene beantragten Feststellung der Unzulässigkeit des Wegweisungsvollzugs der Boden entzogen ist.</w:t>
      </w:r>
    </w:p>
    <w:p>
      <w:r>
        <w:rPr>
          <w:b/>
        </w:rPr>
        <w:t>E. 5</w:t>
      </w:r>
    </w:p>
    <w:p>
      <w:r>
        <w:t>Aus diesen Erwägungen ergibt sich, dass die angefochtene Verfügung soweit zu überprüfen Bundesrecht nicht verletzt und den rechtserheblichen Sachverhalt richtig sowie vollständig feststellt (Art. 106 Abs. 1 AsylG). Die Beschwerde ist demnach abzuweisen.</w:t>
      </w:r>
    </w:p>
    <w:p>
      <w:r>
        <w:rPr>
          <w:b/>
        </w:rPr>
        <w:t>E. 6.1</w:t>
      </w:r>
    </w:p>
    <w:p>
      <w:r>
        <w:t>Bei diesem Ausgang des Verfahrens wären die Kosten dem Beschwerdeführer aufzuerlegen (Art. 63 Abs. 1 VwVG). Nachdem das Gesuch um unentgeltliche Rechtspflege mit Zwischenverfügung vom 20. Dezember 2016 gutgeheissen wurde und den Akten keine Hinweise auf eine Veränderung der finanziellen Verhältnisse zu entnehmen sind, ist von einer Kostenauflage abzusehen.</w:t>
      </w:r>
    </w:p>
    <w:p>
      <w:r>
        <w:rPr>
          <w:b/>
        </w:rPr>
        <w:t>E. 6.2</w:t>
      </w:r>
    </w:p>
    <w:p>
      <w:r>
        <w:t>Eine Parteientschädigung gemäss Art. 64 VwVG ist beim vorliegenden Verfahrensausgang nicht zuzusprechen. Nachdem auch das Gesuch um Gewährung der unentgeltlichen Rechtsverbeiständung gutgeheissen wurde, ist der amtlich bestellten Rechtsbeiständin zulasten der Gerichtskasse ein amtliches Honorar gestützt auf die in Betracht zu ziehenden Bemessungsfaktoren (Art. 9 - 13 des Reglements vom 21. Februar 2008 über die Kosten und Entschädigungen vor dem Bundesverwaltungsgericht [VGKE, SR 173.320.2]) zu entrichten. Da die als amtliche Rechtsbeiständin bestellte Rechtsvertreterin die gesetzlichen Voraussetzungen gemäss Art. 110a Abs. 3 AsylG mangels Besitzes eines universitären juristischen Hochschulabschlusses nicht erfüllt, erfolgte ihre Bestellung in der Zwischenverfügung vom 20. Dezember 2016 versehentlich. Indessen erscheinen bei vorliegender Sachlage - im Sinne einer Ausnahme und unpräjudiziell - diesbezügliche Weiterungen nicht angezeigt. Die Rechtsvertreterin hat keine Kostennote eingereicht. Der Aufwand lässt sich allerdings aufgrund der Akten zuverlässig abschätzen (Art. 14 Abs. 2 VGKE). In Anwendung der massgeblichen Bemessungsfaktoren (vgl. Art. 12 i.V.m. Art. 8-11 VGKE) ist BLaw Nora Maria Riss für ihre Bemühungen zu Lasten des Gerichts ein amtliches Honorar von Fr. 600.-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