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D-7724/2024 vom 12. März 2025</w:t>
      </w:r>
    </w:p>
    <w:p>
      <w:r>
        <w:t>Bundesverwaltungsgericht, 2025-03-12, IT</w:t>
      </w:r>
    </w:p>
    <w:p>
      <w:r>
        <w:rPr>
          <w:b/>
        </w:rPr>
        <w:t xml:space="preserve">Quelle: </w:t>
      </w:r>
      <w:r>
        <w:t>https://mcp.opencaselaw.ch/entscheid/bvger_D-7724_2024</w:t>
      </w:r>
    </w:p>
    <w:p>
      <w:r>
        <w:t>FR: TAF D-7724/2024 du 12 mars 2025</w:t>
      </w:r>
    </w:p>
    <w:p>
      <w:r>
        <w:t>IT: TAF D-7724/2024 del 12 marzo 2025</w:t>
      </w:r>
    </w:p>
    <w:p>
      <w:pPr>
        <w:pStyle w:val="Heading2"/>
      </w:pPr>
      <w:r>
        <w:t>Regeste</w:t>
      </w:r>
    </w:p>
    <w:p>
      <w:r>
        <w:t>Asilo e allontanamento (procedura celere)</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12</w:t>
      </w:r>
    </w:p>
    <w:p>
      <w:r>
        <w:t>luglio 2023 consid. 9.4.1 con riferimenti; D-5690/2021 del 25 maggio 2023 consid. 8.4.1); che ciò vale anche per le province di Hakkâri e Şırnak (cfr. sentenza del TAF E-4103/2024 dell’8 novembre 2024 consid. 13.4.8 [sentenza di riferimento]), che il 6 febbraio 2023 il sud-est della Turchia è stato interessato da forti terremoti che hanno causato migliaia di morti e distrutto buona parte delle infrastrutture; che il Presidente turco ha quindi proclamato lo stato d’emer- genza per le undici province toccate (Kahramanmaras, Hatay, Gaziantep, Osmaniye, Malatya, Adiyaman, Adana, Diyarbakir, Kilis, Sanliurfa e Elazig); che, il 9 maggio 2023, lo stato di emergenza dichiarato in tali province è stato revocato dal Presidente della Repubblica turca; che, posta l’attuale situazione nelle province colpite dai terremoti, l’esigibilità dell’esecuzione dell’allontanamento in tali regioni deve essere esaminata in modo indivi- duale, caso per caso (cfr. sentenza di riferimento del TAF E-1308/2023 del 19 marzo 2024 consid. 11.3); che, in tal senso, va tenuto adeguatamente conto della situazione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che dagli atti emerge che l’allontanamento verso la Turchia si rivela pacifi- camente esigibile nella misura in cui egli gode in Patria di una solida rete famigliare in grado di sostenerlo; che egli ha dichiarato di aver vissuto nella provincia di Gaziantep anche nel periodo successivo al terremoto senza allegare alcuna ripercussione o limitazione in merito segnatamente alla sua situazione d’alloggio; che egli è giovane ed in buona salute; che egli ha affermato di aver terminato il liceo e di voler intraprendere l’università; che l’interessato vanta infine esperienza lavorativa quale (…) per delle (…),</w:t>
      </w:r>
    </w:p>
    <w:p>
      <w:r>
        <w:t>D-7724/2024 Pagina 9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manifestamente infondato, va quindi respinto, che avendo statuito nel merito del ricorso, la richiesta di esenzione dal ver- samento di un anticipo relativo alle presumibili spese processuali, è dive- nuta senza oggetto; che essendo state le richieste di giudizio sprovviste di probabilità di esito favorevole (art. 65 cpv. 1 PA) al momento dell’inoltro del ricorso, la do- manda di assistenza giudiziaria, nel senso della dispensa dal versamento delle spese processuali, è respinta, che visto l'esito della procedura, le spese processuali di CHF 750.-, addos- sate alla parte soccombente, sono poste a carico del ricorrente (art. 63 cpv. 1 e 5 PA nonché art. 3 lett. a del regolamento sulle tasse e sulle spese ripetibili nelle cause dinanzi al Tribunale amministrativo federale del 21 feb- braio 2008 [TS-TAF, RS 173.320.2]), che, in principio, la sentenza non può essere impugnata con ricorso in ma- teria di diritto pubblico dinanzi al Tribunale federale (cfr. art. 83 lett. d cifra 1 LTF), che il presente giudizio è quindi definitivo,</w:t>
      </w:r>
    </w:p>
    <w:p>
      <w:r>
        <w:t>(dispositivo alla pagina seguente)</w:t>
      </w:r>
    </w:p>
    <w:p>
      <w:r>
        <w:t>D-7724/2024 Pagina 10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