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D-7694/2025 vom 30. März 2026</w:t>
      </w:r>
    </w:p>
    <w:p>
      <w:r>
        <w:t>Bundesverwaltungsgericht, 2026-03-30, DE</w:t>
      </w:r>
    </w:p>
    <w:p>
      <w:r>
        <w:rPr>
          <w:b/>
        </w:rPr>
        <w:t xml:space="preserve">Quelle: </w:t>
      </w:r>
      <w:r>
        <w:t>https://mcp.opencaselaw.ch/entscheid/bvger_D-7694_2025</w:t>
      </w:r>
    </w:p>
    <w:p>
      <w:r>
        <w:t>FR: TAF D-7694/2025 du 30 mars 2026</w:t>
      </w:r>
    </w:p>
    <w:p>
      <w:r>
        <w:t>IT: TAF D-7694/2025 del 30 marzo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nahm am Verfahren vor der Vorinstanz teil, ist durch die angefochtene Verfügung besonders berührt und hat ein schutzwürdiges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nachstehend E. 5.3) - vorliegend um eine solche Beschwerde, weshalb das Urteil nur summarisch zu begründen ist (Art. 72 i.V.m. Art. 111a Abs. 2 AsylG).</w:t>
      </w:r>
    </w:p>
    <w:p>
      <w:r>
        <w:rPr>
          <w:b/>
        </w:rPr>
        <w:t>E. 4</w:t>
      </w:r>
    </w:p>
    <w:p>
      <w:r>
        <w:t>In seiner Beschwerdeergänzung beantragte der Beschwerdeführer die Rückweisung der Sache an die Vorinstanz, weil diese kein Rückübernahmeersuchen an die rumänischen Behörden gestellt, die rechtlichen Auswirkungen seines Verzichts auf den Schutz Rumäniens nicht geprüft und die aktuelle Situation in Rumänien nicht berücksichtigt habe. Angesichts nachfolgender Erwägungen ist der Sachverhalt als genügend erstellt zu erachten und auch eine Verletzung des rechtlichen Gehörs ist nicht zu erkennen. Insbesondere erübrigen sich Abklärungen beziehungsweise weitere Erwägungen durch die Vorinstanz zur Rückübernahme des Beschwerdeführers, zur Wiedererlangung des Schutzstatus in Rumänien und zur dortigen Situation. Der Antrag auf Rückweisung der Sache an die Vorinstanz ist deshalb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erliess der Bundesrat gestützt auf Art. 66 Abs. 1 AsylG eine Allgemeinverfügung zur Gewährung des vorübergehenden Schutzes im Zusammenhang mit der Situation in der Ukraine (BBI 2022 586). Dieser Erlass wurde durch eine neue Allgemeinverfügung vom 8. Oktober 2025 (BBl 2025 3074; in Kraft seit 1. November 2025) aufgehoben respektive abgelöst. Gemäss Ziff. III Abs. 3 des neuen Erlasses gilt die neue Regelung auch für Verfahren, die im Zeitpunkt des Inkrafttretens beim Staatssekretariat für Migration hängig sind. Im vorliegenden Fall wurde das vorinstanzliche Verfahren indes am 9. September 2025 abgeschlossen. Demnach gilt für das vorliegende Beschwerdeverfahren nach wie vor die Allgemeinverfügung vom 11. März 2022.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Das Bundesverwaltungsgericht stellte bereits in seinem Grundsatzurteil BVGE 2022 VI/1 im Sinne einer Einschränkung fest,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wieder in den fraglichen Drittstaat einreisen kann. Sind diese Voraussetzungen erfüllt, ist - selbst wenn keine Rückübernahmezusicherung des in Frage stehenden Drittstaates vorliegt - das Vorliegen einer valablen Schutzalternative zu bejahen (vgl. a.a.O. E. 6.2.1 sowie 6.3).</w:t>
      </w:r>
    </w:p>
    <w:p>
      <w:r>
        <w:rPr>
          <w:b/>
        </w:rPr>
        <w:t>E. 6.1</w:t>
      </w:r>
    </w:p>
    <w:p>
      <w:r>
        <w:t>Der Beschwerdeführer ist ukrainischer Staatsangehöriger und wohnte vor dem 24. Februar 2022 in der Ukraine. Er fällt somit grundsätzlich unter Bst. a der Allgemeinverfügung. Er hielt sich den Akten zufolge nach seiner Ausreise aus der Ukraine unter anderem in Rumänien auf und erhielt am (...) 2025 einen rumänischen Schutzstatus (Nr. [...]). Daran ändert das Vorbringen des Beschwerdeführers, der Schutz in Rumänien sei ein Irrtum gewesen, und er habe gar nie den Schutz der rumänischen Behörden erhalten wollen, nichts. Dieser EU-Schutztitel wurde ihm offensichtlich in Anwendung der (damals) einschlägigen EU-Normen verliehen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und kann als dem schweizerischen Schutzstatus «S» gleichwertig erachtet werden (vgl. dazu Koordinationsurteil D-4601/2025 E. 6.2.2; Urteil des BVGer D-2096/2025 vom 23. Februar 2026 E.5.1). Damit besteht ein hinreichender Anknüpfungspunkt in Rumänien.</w:t>
      </w:r>
    </w:p>
    <w:p>
      <w:r>
        <w:rPr>
          <w:b/>
        </w:rPr>
        <w:t>E. 6.2</w:t>
      </w:r>
    </w:p>
    <w:p>
      <w:r>
        <w:t>Gestützt auf die vorliegenden Akten ist zwar davon auszugehen, dass der Beschwerdeführer aktuell über keinen gültigen rumänischen Schutztitel respektive eine darauf basierende Aufenthaltsbewilligung (mehr) verfügt. Rumänien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der Beschwerdeführer bei einer Rückkehr nach Rumänien seinen Schutzstatus reaktivieren oder zumindest erneut erfolgreich um Schutz ersuchen kann. Im Übrigen ist darauf hinzuweisen, dass die einschlägigen EU-Regelungen auf dem Grundgedanken beruhen, dass derjenige Staat, welcher zuerst vorübergehenden Schutz gewährte beziehungsweise einen entsprechenden Aufenthaltstitel ausstellte, grundsätzlich auch weiterhin für die Schutzgewährung zuständig sein soll (vgl. Art. 16 des Durchführungsbeschlusses [EU] 2022/382; s. dazu auch Koordinationsurteil D-4601/2025 E. 6.2.3). Demnach besteht auch kein Grund zur Annahme, dass sich die (erfolglose) Antragsstellung in der Schweiz bei einer erneuten Schutzsuche in Rumänien für den Beschwerdeführer nachteilig auswirken wird (vgl. zu diesem Thema auch das EuGH-Urteil vom 27. Februar 2025 in der Sache C-753/23 [Krasiliva]). Insgesamt kann demnach mit hinreichender Gewissheit festgestellt werden, dass Rumänien dem Beschwerdeführer im Falle seiner Rückkehr dorthin erneut vorübergehenden Schutz gewähren und ihm einen entsprechenden Aufenthaltstitel ausstellen wird.</w:t>
      </w:r>
    </w:p>
    <w:p>
      <w:r>
        <w:rPr>
          <w:b/>
        </w:rPr>
        <w:t>E. 6.3</w:t>
      </w:r>
    </w:p>
    <w:p>
      <w:r>
        <w:t>Als Inhaber eines gültigen ukrainischen Reisepasses kann der Beschwerdeführer visumsfrei in den Schengenraum ein- und zwischen den Schengen-Staaten herumreisen. Somit kann er ohne weiteres selbständig von der Schweiz nach Rumänien zurückkehren beziehungsweise legal dort einreisen. Aus diesem Grund kann gemäss koordinierter Praxis auf eine Rückübernahmezusicherung durch Rumänien verzichtet werden.</w:t>
      </w:r>
    </w:p>
    <w:p>
      <w:r>
        <w:rPr>
          <w:b/>
        </w:rPr>
        <w:t>E. 6.4</w:t>
      </w:r>
    </w:p>
    <w:p>
      <w:r>
        <w:t>Die Vorinstanz stellte demnach zutreffend fest, dass der Beschwerdeführer in Rumänien über eine valable Schutzalternative verfügt und damit nicht auf den Schutz der Schweiz angewiesen ist.</w:t>
      </w:r>
    </w:p>
    <w:p>
      <w:r>
        <w:rPr>
          <w:b/>
        </w:rPr>
        <w:t>E. 7.1</w:t>
      </w:r>
    </w:p>
    <w:p>
      <w:r>
        <w:t>Gemäss Art. 71 Abs. 1 Bst. b AsylG wird Ehegatten von Schutzbedürftigen vorübergehend Schutz gewährt, wenn die Familie durch Ereignisse nach Art. 4 AsylG getrennt wurde, sich in der Schweiz vereinigen will und keine besonderen Umstände dagegensprechen. Ehegatten gleichgestellt sind eingetragene Partnerinnen und Partner und in dauernder eheähnlicher Gemeinschaft zusammenlebende Personen (Art. 1a Bst. e der Asylverordnung 1 über Verfahrensfragen [AsylV 1; SR 142.311]). Von einem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138 III 97 E. 2.3.3). Eine Vereinigung nach einer Trennung durch Ereignisse nach Art. 4 AsylG setzt - analog zum asylrechtlichen Familiennachzug aus dem Ausland nach Art. 51 Abs. 4 AsylG - eine vorbestandene Familienbeziehung im Heimat- oder Herkunftsstaat respektive bei vorübergehendem Schutz in der vom Bundesrat in seinem Grundsatzentscheid definierten Konfliktregion voraus (vgl. BVGer E-5207/2024 vom 20. September 2024 E. 6 m.w.H.).</w:t>
      </w:r>
    </w:p>
    <w:p>
      <w:r>
        <w:rPr>
          <w:b/>
        </w:rPr>
        <w:t>E. 7.2</w:t>
      </w:r>
    </w:p>
    <w:p>
      <w:r>
        <w:t>Der Beschwerdeführer heiratete am (...) 2026 auf dem digitalen Büro für die staatliche Registrierung von Personenstandsurkunden in der Stadt E._______. Ihm zufolge seien sie seit März 2023 ein Paar. In der Beschwerdeergänzung brachte er erstmals vor, sie hätten bereits in der Ukraine unter einem Dach gelebt. Im Mietvertrag vom 22. August 2023 zwischen seiner heutigen Ehefrau und ihrem Vermieter steht als Adresse «11 (...), App. 307». In der schriftlichen Kurzbefragung gab er als letzte Wohnadresse hingegen «15A (...)» an. Diese Adresse steht auch auf den behördlichen Bestätigungen vom 22. August 2025 ihn und seine Brüder betreffend, wonach sie seit dem 14. November 2000 dort wohnten. Er brachte zudem vor, seine Partnerin (heute: Ehefrau) sei nach ihren gemeinsamen Ferien in F._______ im Sommer 2025 nach Berlin gereist, um Arbeit zu suchen, während er mit seinem Bruder (D._______) in die Schweiz gefahren sei. Diese Umstände lassen bereits Zweifel bezüglich eines vorbestandenen gefestigten Konkubinats aufkommen. Hinzu kommt, dass den Akten keine weiteren substanziellen Angaben zu ihrer Beziehung zu entnehmen sind. Namentlich ist keine Übernahme von wechselseitiger Verantwortung aktenkundig. Nach dem Gesagten sind die rechtlichen Erfordernisse eines vorbestandenen gefestigten Konkubinats nicht als erfüllt zu erachten. Daran vermögen insbesondere die eingereichten Fotos, die inzwischen erfolgte Heirat und das Zusammenleben in der Schweiz nichts zu ändern. Entsprechend kann zum Zeitpunkt der Ausreise des Beschwerdeführers aus der Ukraine nicht vom Vorliegen einer vorbestandenen eheähnlichen Beziehung ausgegangen werden. Folglich besteht kein Anwendungsfall von Art. 71 Abs. 1 Bst. b AsylG, weshalb der Beschwerdeführer daraus nichts zu seinen Gunsten ableiten kann.</w:t>
      </w:r>
    </w:p>
    <w:p>
      <w:r>
        <w:rPr>
          <w:b/>
        </w:rPr>
        <w:t>E. 8</w:t>
      </w:r>
    </w:p>
    <w:p>
      <w:r>
        <w:t>Die Vorinstanz lehnte damit das Gesuch um Gewährung des vorübergehenden Schutzes zu Recht ab.</w:t>
      </w:r>
    </w:p>
    <w:p>
      <w:r>
        <w:rPr>
          <w:b/>
        </w:rPr>
        <w:t>E. 9.1</w:t>
      </w:r>
    </w:p>
    <w:p>
      <w:r>
        <w:t>Lehnt die Vorinstanz ein Gesuch um Gewährung des vorübergehenden Schutzes ab, verfügt sie in der Regel die Wegweisung aus der Schweiz und ordnet den Vollzug an (vgl. Art. 69 Abs. 4 AsylG).</w:t>
      </w:r>
    </w:p>
    <w:p>
      <w:r>
        <w:rPr>
          <w:b/>
        </w:rPr>
        <w:t>E. 9.2</w:t>
      </w:r>
    </w:p>
    <w:p>
      <w:r>
        <w:t>Der Beschwerdeführer verfügt weder über eine ausländerrechtliche Aufenthaltsbewilligung noch über einen Anspruch auf Erteilung einer solchen. Die Wegweisung wurde demnach von der Vorinstanz ebenfalls zu Recht angeordnet (vgl. BVGE 2013/37 E. 4.4; 2009/50 E. 9, je m.w.H.). Die Heirat mit einer aufenthaltsberechtigten Person vermag daran nichts zu ändern (vgl. E. 10.2.3).</w:t>
      </w:r>
    </w:p>
    <w:p>
      <w:r>
        <w:rPr>
          <w:b/>
        </w:rPr>
        <w:t>E. 10.1</w:t>
      </w:r>
    </w:p>
    <w:p>
      <w:r>
        <w:t>Ist der Vollzug der Wegweisung nicht zulässig, nicht zumutbar oder nicht möglich, so regelt die Vorinstanz das Anwesenheitsverhältnis nach den gesetzlichen Bestimmungen über die vorläufige Aufnahme (vgl. Art. 69 Abs. 4 AsylG; Art. 83 Abs. 1 AIG [SR 142.20]). Wegweisungsvollzugshindernisse sind zu beweisen, wenn der strikte Beweis möglich ist, und andernfalls wenigstens glaubhaft zu machen (vgl. BVGE 2011/24 E. 10.2 m.w.H.).</w:t>
      </w:r>
    </w:p>
    <w:p>
      <w:r>
        <w:rPr>
          <w:b/>
        </w:rPr>
        <w:t>E. 10.2.1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10.2.2</w:t>
      </w:r>
    </w:p>
    <w:p>
      <w:r>
        <w:t>Den Akten sind keine Hinweise auf eine Verletzung des flüchtlingsrechtlichen Refoulement-Verbots in Bezug auf Rumänien zu entnehmen. Sodann ergeben sich weder aus den Aussagen des Beschwerdeführers noch aus den Akten Anhaltspunkte dafür, dass er für den Fall einer Ausschaffung nach Rumänien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Rumänien ist Signatarstaat der EMRK, der FoK und der FK sowie des Zusatzprotokolls der FK vom 31. Januar 1967 (SR 0.142.301) und kommt seinen diesbezüglichen völkerrechtlichen Verpflichtungen grundsätzlich nach. Der Beschwerdeführer hat denn auch nichts Gegenteiliges dargetan. Der Vollzug der Wegweisung nach Rumänien ist daher als zulässig zu erachten.</w:t>
      </w:r>
    </w:p>
    <w:p>
      <w:r>
        <w:rPr>
          <w:b/>
        </w:rPr>
        <w:t>E. 10.2.3</w:t>
      </w:r>
    </w:p>
    <w:p>
      <w:r>
        <w:t>Ebenso wenig ist eine Verletzung von Art. 8 EMRK zu erkennen, da diese Bestimmung ein gefestigtes Anwesenheitsrecht von nahem Angehörigen vorausaussetzen würde (BGE 144 II 1). Bei dem Bruder handelt es sich nicht um einen nahen Angehörigen im Sinne von Art. 8 EMRK. Zwar hat der Beschwerdeführer seine Partnerin inzwischen geheiratet, auch sie verfügt in der Schweiz aber über kein gefestigtes Anwesenheitsrecht. Seiner Ehefrau wurde zwar vorübergehender Schutz gewährt, welcher aber gerade nicht auf Dauer ausgelegt ist. Ohnehin ist die entsprechende Familiengemeinschaft im Wissen um den unsicheren Aufenthaltsstatus geschlossen worden (vgl. Urteil des Bundesverwaltungsgerichts D-6999/2024 vom 20. März 2026 E. 10.3).</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Der Beschwerdeführer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Die Vorinstanz hat zudem zu Recht darauf hingewiesen, dass Rumänien über ein Gesundheitssystem verfügt, das europäischem Standard entspricht, weshalb der Beschwerdeführer eine angemessene medizinische Behandlung erhalten könnte, sollte er eine solche benötigen. Aus dem Umstand, dass er in Rumänien weder über eine Wohnung, Arbeit, noch ein soziales Netz verfüge, der rumänischen Sprache nicht mächtig und die Mentalität anders sei, kann er nach vorstehenden Erwägungen nichts zu seinen Gunsten ableiten. Der Vollzug der Wegweisung nach Rumänien ist somit als zumutbar zu erachten.</w:t>
      </w:r>
    </w:p>
    <w:p>
      <w:r>
        <w:rPr>
          <w:b/>
        </w:rPr>
        <w:t>E. 10.4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kann der Beschwerdeführer als Inhaber eines gültigen ukrainischen Reisepasses ohne weiteres in Rumänien einreisen. Für eine Feststellung der Unmöglichkeit des Vollzugs der Wegweisung besteht damit kein Raum.</w:t>
      </w:r>
    </w:p>
    <w:p>
      <w:r>
        <w:rPr>
          <w:b/>
        </w:rPr>
        <w:t>E. 10.5</w:t>
      </w:r>
    </w:p>
    <w:p>
      <w:r>
        <w:t>Zusammenfassend ist festzustellen, dass die Anordnung der vorläufigen Aufnahme infolge Unzulässigkeit, Unzumutbarkeit oder Unmöglichkeit des Vollzugs (Art. 83 Abs. 1-4 AIG) vorliegend ausser Betracht fällt.</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12.1</w:t>
      </w:r>
    </w:p>
    <w:p>
      <w:r>
        <w:t>Bei diesem Ausgang des Verfahrens wären dessen Kosten grundsätzlich dem Beschwerdeführer aufzuerlegen (Art. 63 Abs. 1 VwVG). Nachdem das Gesuch um Gewährung der unentgeltlichen Prozessführung mit Zwischenverfügung vom 29. Oktober 2025 unter Vorbehalt der Einreichung einer Fürsorgebestätigung gutgeheissen wurde, und der Beschwerdeführer eine solche fristgerecht einreichte, sind jedoch keine Verfahrenskosten zu erheben.</w:t>
      </w:r>
    </w:p>
    <w:p>
      <w:r>
        <w:rPr>
          <w:b/>
        </w:rPr>
        <w:t>E. 12.2</w:t>
      </w:r>
    </w:p>
    <w:p>
      <w:r>
        <w:t>Mit Zwischenverfügung vom 15. Dezember 2025 wurde auch das Gesuch um amtliche Verbeiständung gutgeheissen und die rubrizierte Rechtsvertreterin als amtliche Rechtsbeiständin beigeordnet. Die Rechtsvertreterin legte keine Kostennote zu den Akten. Auf eine entsprechende Nachforderung kann jedoch verzichtet werden, da der notwendige Vertretungsaufwand, der sich auf die Beschwerdeergänzung und die Replik beschränkt, aufgrund der Akten zuverlässig abgeschätzt werden kann. Das amtliche Honorar ist aufgrund der Aktenlage, der massgebenden Bemessungsfaktoren (Art. 12 i.V.m. Art. 9-11 VGKE) und des geltenden Stundenansatzes auf Fr. 1'400.- (inkl. Auslagen) festzusetzen und der rubrizierten Rechtsvertreterin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