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D-7684/2015 vom 12. Mai 2016</w:t>
      </w:r>
    </w:p>
    <w:p>
      <w:r>
        <w:t>Bundesverwaltungsgericht, 2016-05-12, DE</w:t>
      </w:r>
    </w:p>
    <w:p>
      <w:r>
        <w:rPr>
          <w:b/>
        </w:rPr>
        <w:t xml:space="preserve">Quelle: </w:t>
      </w:r>
      <w:r>
        <w:t>https://mcp.opencaselaw.ch/entscheid/bvger_D-7684_2015</w:t>
      </w:r>
    </w:p>
    <w:p>
      <w:r>
        <w:t>FR: TAF D-7684/2015 du 12 mai 2016</w:t>
      </w:r>
    </w:p>
    <w:p>
      <w:r>
        <w:t>IT: TAF D-7684/2015 del 12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 zur Kognition des Bundesverwaltungsgerichts in Dublin-Beschwerdeverfahren vgl. BVGE 2015/9).</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7. August 2015 ersuchte das SEM die italienischen Behörden um Übernahme der Beschwerdeführenden gestützt auf Art. 13 Abs. 1 Dublin-III-VO. Die italienischen Behörden liessen das Übernahmeersuchen innert der in Art. 22 Abs. 1 Dublin-III-VO vorgesehenen Frist zunächst unbeantwortet, stimmten aber danach am 17. November 2015 einer Übernahme explizit zu.</w:t>
      </w:r>
    </w:p>
    <w:p>
      <w:r>
        <w:rPr>
          <w:b/>
        </w:rPr>
        <w:t>E. 3.2</w:t>
      </w:r>
    </w:p>
    <w:p>
      <w:r>
        <w:t>Die Zuständigkeit Italiens wird von den Beschwerdeführenden in ihrer Rechtsmitteleingabe mit dem Hinweis bestritten, die Frage der grundsätzlichen Zuständigkeit Italiens könne nicht von der Frage der Zulässigkeit der Überstellung nach Italien abgekoppelt werden. Angesichts der diesbezüglich klaren und in Ziffer 3.1 dargelegten Regelung in der Dublin-III-VO ist dieser Einwand als nicht stichhaltig zu qualifizieren und vermag nicht zu einer anderen Einschätzung zu führen. Das SEM hat in verfahrensrechtlich korrekter Weise zunächst die Zuständigkeit Italiens zur Durchführung des Asyl- und Wegweisungsverfahrens gemäss Dublin-III-VO geprüft und bejaht und sich danach in einem zweiten Schritt zur Durchführbarkeit des Wegweisungsvollzugs geäussert. Dass es dabei - entgegen der in der Beschwerdeschrift geäusserten Ansicht - zum Schluss gekommen ist, den Beschwerdeführenden drohten durch die Überstellung nach Italien keine Menschenrechtsverletzungen, vermag an der grundsätzlichen Zuständigkeit Italiens nichts zu ändern. Demzufolge ist die Zuständigkeit Italiens gegeben.</w:t>
      </w:r>
    </w:p>
    <w:p>
      <w:r>
        <w:rPr>
          <w:b/>
        </w:rPr>
        <w:t>E. 3.3</w:t>
      </w:r>
    </w:p>
    <w:p>
      <w:r>
        <w:t>Im Weiteren rügt die Beschwerdeführerin auf Beschwerdeebene im Wesentlichen, es liege keine genügende individuelle Zusicherung der italienischen Behörden für das Vorhandensein einer konkreten Unterkunft für sie und ihren kleinen Sohn vor. Das Bundesverwaltungsgericht ging in BVGE 2015/4 ausführlich auf den Entscheid des EGMR (Tarakhel gegen Schweiz vom 4. November 2014, Grosse Kammer, Nr. 29217/12) ein und führte darin unter anderem aus, es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 Aus dem Schreiben der italienischen Behörden vom "17/1/2015" (recte: 11. November 2015) geht hervor, dass die Beschwerdeführenden unter expliziter Namensnennung und Altersangabe als Familiengemeinschaft (nucleo familiare) betrachtet werden. Diese Angaben entsprechen weitestgehend den in BVGE 2015/4 E. 4.3 S. 78 explizit genannten Anforderungen an eine individuelle Zusicherung. Dieses Schreiben stellt somit eine gemäss dem Entscheid Tarakhel und BVGE 2015/4 geforderte Garantieerklärung der italienischen Behörden dar. Daran vermag auch nichts zu ändern, dass der Sohn auf dem erwähnten Schreiben versehentlich als "Daughter" aufgeführt wurde, zumal aus dem Namen "(...)" und mangels Angaben im Übernahmegesuch des SEM, beim Kind der Beschwerdeführerin handle es sich um einen Sohn, nicht zwingend auf das Geschlecht geschlossen werden kann. Zwar äussert sich dieses Schreiben nicht zur konkreten Unterbringung, sondern fügt lediglich an, dass sich die Beschwerdeführenden nach der Überstellung bei den zuständigen Behörden in H._______ zu melden hätten. Dem Schreiben ist ausdrücklich zu entnehmen, dass die Familie in Übereinstimmung mit dem Rundschreiben vom 8. Juni 2015 untergebracht werde. Die erwähnte individuelle Zusicherung muss demnach im Zusammenhang mit den vom italienischen Staat abgegebenen allgemeinen Garantien (Rundschreiben vom 2. Februar 2015 und vom 8. Juni 2015) gesehen werden, wonach sämtliche Familien, welche im Rahmen des Dublin-Übereinkommens nach Italien überstellt würden, unter Wahrung der Einheit der Familie in einer familiengerechten Unterbringung - unter Hinweis auf eine Liste von SPRAR-Projekten - aufgenommen würden. Daraus wird deutlich, dass es Italien offenbar gelungen ist, familiengerechte Unterbringungsplätze zu schaffen. In seinem Koordinationsurteil D-6358/2015 vom 7. April 2016 E. 5.2 (zur Publikation vorgesehen) hielt das Bundesverwaltungsgericht fest, dass die italienischen Behörden in neueren Dublin-Fällen einen entsprechenden Passus ausdrücklich in die individuelle Zusicherung aufnehmen würden, wonach die jeweilige Familie in Übereinstimmung mit dem Rundschreiben vom 8. Juni 2015 untergebracht werde ("This family will be accommodated in accordance to the circular letter of the 8th of June 2015."), wodurch der bisherige implizite Hinweis nunmehr explizit in die jeweilige individuelle Garantie aufgenommen worden sei. Einen solchen Passus haben die italienischen Behörden wie erwähnt vorliegend in ihrer Zusicherung aufgenommen. Zudem wurde im oben erwähnten Koordinationsurteil angeführt, dass die Zusicherung der italienischen Behörden darin bestehe, dass für familiengerechte Unterbringungsplätze kontinuierlich gesorgt werde, es sich bei den SPRAR-Projekten somit um ein bewirtschaftetes System handle, das sein Angebot aufgrund der bestehenden Bedürfnisse auszurichten versuche. Da es sich bei Italien - trotz gewisser Probleme bei der Unterbringung von Asylsuchenden - um einen funktionierenden Rechtsstaat handle, könnten an die Zusicherung keine überhöhten Anforderungen gestellt werden, indem etwa verlangt würde, dass die Unterkunft genau benannt werde, was ohnehin kaum praktikabel wäre. Im Lichte obiger Ausführungen ist demnach zusammenfassend festzuhalten, dass das vorliegende System von konkreten Zusicherungen unter Namens- und Altersangabe sowie Anerkennung der Familieneinheit, zusammen mit einem ausdrücklichen Hinweis auf allgemeine Garantien einer familiengerechten Unterbringung in der Form von Rundschreiben, eine hinreichend konkretisierte und individualisierte Zusicherung im Sinne der Anforderungen gemäss BVGE 2015/4 darstellt.</w:t>
      </w:r>
    </w:p>
    <w:p>
      <w:r>
        <w:rPr>
          <w:b/>
        </w:rPr>
        <w:t>E. 3.4</w:t>
      </w:r>
    </w:p>
    <w:p>
      <w:r>
        <w:t>Ebenfalls als unbegründet erweist sich der Einwand, wonach das Wohl des Kindes einer Überstellung nach Italien entgegenstehe, zumal sich die Beschwerdeführenden erst seit Juni 2015 in der Schweiz aufhalten und der Sohn der Beschwerdeführerin daher noch nicht als derart in der Schweiz verwurzelt gelten kann, dass zwingend ein Selbsteintritt der Schweiz zu geschehen hätte. Überdies sind die SPRAR-Projekte gemäss Rundschreiben vom 8. Juni 2015 speziell auch auf die Bedürfnisse Minderjähriger ausgerichtet. Die Voraussetzungen eines Selbsteintritts gemäss Art. 17 Abs. 1 Satz 1 Dublin-III-VO sind somit zu verneinen.</w:t>
      </w:r>
    </w:p>
    <w:p>
      <w:r>
        <w:rPr>
          <w:b/>
        </w:rPr>
        <w:t>E. 4.1</w:t>
      </w:r>
    </w:p>
    <w:p>
      <w:r>
        <w:t>Das SEM ist demnach zu Recht in Anwendung von Art. 31a Abs. 1 Bst. b AsylG auf die Asylgesuche der Beschwerdeführenden nicht eingetreten, weshalb dem Antrag auf Rückweisung der Sache zur vollständigen Abklärung des Sachverhalts und zur Neubeurteilung durch die Vorinstanz nicht stattzugeben ist. Da die Beschwerdeführenden nicht im Besitz einer gültigen Aufenthalts- oder Niederlassungsbewilligung sind, wurde die Überstellung nach Italien in Anwendung von Art. 44 AsylG ebenfalls zu Recht angeordnet (Art. 32 Bst. a der Asylverordnung 1 vom 11. August 1999 [AsylV 1, SR 142.311]).</w:t>
      </w:r>
    </w:p>
    <w:p>
      <w:r>
        <w:rPr>
          <w:b/>
        </w:rPr>
        <w:t>E. 4.2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5</w:t>
      </w:r>
    </w:p>
    <w:p>
      <w:r>
        <w:t>Nach dem Gesagten ist die Beschwerde abzuweisen und die Verfügung des SEM zu bestätigen.</w:t>
      </w:r>
    </w:p>
    <w:p>
      <w:r>
        <w:rPr>
          <w:b/>
        </w:rPr>
        <w:t>E. 6.1</w:t>
      </w:r>
    </w:p>
    <w:p>
      <w:r>
        <w:t>Bei diesem Ausgang des Verfahrens wären die Kosten grundsätzlich den Beschwerdeführenden aufzuerlegen (Art. 63 Abs. 1 VwVG). Die Beschwerdeführenden ersuchten indessen um Gewährung der unentgeltlichen Rechtspflege. Da die Beschwerdebegehren zum Zeitpunkt deren Einreichung nicht als aussichtslos erschienen, ist das Gesuch um Gewährung der unentgeltlichen Prozessführung gemäss Art. 65 Abs. 1 VwVG gutzuheissen und es sind keine Verfahrenskosten zu erheben.</w:t>
      </w:r>
    </w:p>
    <w:p>
      <w:r>
        <w:rPr>
          <w:b/>
        </w:rPr>
        <w:t>E. 6.2</w:t>
      </w:r>
    </w:p>
    <w:p>
      <w:r>
        <w:t>Der Antrag auf Verzicht auf die Erhebung eines Kostenvorschusses erweist sich mit vorliegendem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