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D-7680/2007 vom 18. Juni 2008</w:t>
      </w:r>
    </w:p>
    <w:p>
      <w:r>
        <w:t>Bundesverwaltungsgericht, 2008-06-18, DE</w:t>
      </w:r>
    </w:p>
    <w:p>
      <w:r>
        <w:rPr>
          <w:b/>
        </w:rPr>
        <w:t xml:space="preserve">Quelle: </w:t>
      </w:r>
      <w:r>
        <w:t>https://mcp.opencaselaw.ch/entscheid/bvger_D-7680_2007</w:t>
      </w:r>
    </w:p>
    <w:p>
      <w:r>
        <w:t>FR: TAF D-7680/2007 du 18 juin 2008</w:t>
      </w:r>
    </w:p>
    <w:p>
      <w:r>
        <w:t>IT: TAF D-7680/2007 del 18 giugno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stützte sich bei der Aufhebung der vorläufigen Aufnahme auf Art. 14b Abs. 2 des damals geltenden Bundesgesetzes vom 26. März 1931 über Aufenthalt und Niederlassung der Ausländer (ANAG). Dieses ist durch das am 1. Januar 2008 in Kraft getretene Bundesgesetz vom 16. Dezember 2005 über die Ausländerinnen und Ausländer (AuG, SR 142.20) ersetzt worden. Es stellt sich somit die Frage, ob im vorliegenden Fall die neuen Bestimmungen gemäss AuG oder die Bestimmungen des damals geltenden ANAG zur Anwendung gelangen. Art. 126 Abs. 1 AuG regelt, dass auf Gesuche, die vor dem Inkrafttreten dieses Gesetzes eingereicht worden sind, das bisherige Recht anwendbar bleibt. Das Bundesverwaltungsgericht hat sich im zur Publikation vorgesehenen Urteil C-3912/2007 vom 14. Februar 2008 mit der Frage der Anwendbarkeit bisherigen oder neuen Rechts befasst. Es gelangte zum Schluss, dass das bisherige materielle Recht gemäss Art. 126 Abs. 1 AuG über seinen zu engen Wortlaut hinaus auf alle Verfahren anwendbar ist, die erstinstanzlich vor Inkrafttreten des neuen Rechts eingeleitet wurden, unabhängig davon, ob sie von Amtes wegen oder auf Gesuch hin eröffnet wurden. Demnach könnten die Bestimmungen des ANAG auf den vorliegenden Fall Anwendung finden. Letztlich aber kann diese Frage offenbleiben, zumal die massgebenden Gesetzesbestimmungen unter altem wie auch neuem Recht inhaltlich ähnlich sind und die Anwendung des alten Rechts in casu zum selben Ergebnis führen würde wie die Anwendung des neuen Rechts.</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Der Beschwerdeführer macht in der Beschwerdebegründung geltend, es sei die Unzulässigkeit, allenfalls die Unzumutbarkeit des Vollzugs der Wegweisung festzustellen und die vorläufige Aufnahme anzuordnen. Gegenstand dieses Beschwerdeverfahrens bildet demnach die Frage, ob der Wegweisungsvollzug im vorliegenden Fall zulässig bzw. zumutbar ist und sich die verfügte Aufhebung der vorläufigen Aufnahme rechtfertigt.</w:t>
      </w:r>
    </w:p>
    <w:p>
      <w:r>
        <w:rPr>
          <w:b/>
        </w:rPr>
        <w:t>E. 3.3</w:t>
      </w:r>
    </w:p>
    <w:p>
      <w:r>
        <w:t>Der Vollzug ist nicht zulässig, wenn völkerrechtliche Verpflichtungen der Schweiz einer Weiterreise der Ausländerin oder des Ausländers in den Heimat-, Herkunfts- oder in einen Drittstaat entgegenstehen (Art. 83 Abs. 3 AuG).</w:t>
      </w:r>
    </w:p>
    <w:p>
      <w:r>
        <w:rPr>
          <w:b/>
        </w:rPr>
        <w:t>E. 3.3.1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3.3.2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3.3.3</w:t>
      </w:r>
    </w:p>
    <w:p>
      <w:r>
        <w:t>Der Grundsatz der Nichtrückschiebung schützt nur Personen, die die Flüchtlingseigenschaft erfüllen (vgl. Mario Gattiker, Das Asyl- und Wegweisungsverfahren, Bern 1999, S. 89). Da rechtskräftig feststeht, dass es dem Beschwerdeführer nicht gelungen ist, eine asylrechtlich erhebliche Gefährdung (drohende Blutrache, Gefängnisstrafe)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Der Beschwerdeführer macht im Wesentlichen geltend, sich weiterhin vor potentiellen Racheakten seitens der Familie seines verstorbenen Freundes, für dessen Unfalltod diese ihn verantwortlich macht, zu fürchten. Da der Staat die Blutrache nicht verhindern könne, sei sein Leben im Irak nach wie vor in Gefahr.</w:t>
      </w:r>
    </w:p>
    <w:p>
      <w:r>
        <w:rPr>
          <w:b/>
        </w:rPr>
        <w:t>E. 3.3.4</w:t>
      </w:r>
    </w:p>
    <w:p>
      <w:r>
        <w:t>Es ergeben sich aber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was ihm nicht gelungen ist, wiederholt er doch im Wesentlichen die im Asylverfahren als unglaubhaft qualifizierten Vorbringen (Blutrache, Gefängnisstrafe). Auch die allgemeine Sicherheits- und Menschenrechtslage im kurdischen Nordirak, die in BVGE E-6982/2006 vom 22. Januar 2008 umfassend beurteilt wurde, lässt den Wegweisungsvollzug zum heutigen Zeitpunkt nicht als unzulässig erscheinen. Nach dem Gesagten ist der Vollzug der Wegweisung sowohl im Sinne der asyl- als auch der völkerrechtlichen Bestimmungen zulässig.</w:t>
      </w:r>
    </w:p>
    <w:p>
      <w:r>
        <w:rPr>
          <w:b/>
        </w:rPr>
        <w:t>E. 3.4</w:t>
      </w:r>
    </w:p>
    <w:p>
      <w:r>
        <w:t>Gemäss Art. 83 Abs. 4 AuG kann der Vollzug für Ausländerinnen und Ausländer unzumutbar sein, wenn sie in Situationen wie Krieg, Bürgerkrieg, allgemeiner Gewalt und medizinischer Notlage im Heimat- oder Herkunftsstaat konkret gefährdet sind. Falls eine konkrete Gefährdung festgestellt wird, ist - unter Vorbehalt von Art. 83 Abs. 7 AuG - die vorläufige Aufnahme zu gewähren (vgl. Botschaft zum Bundesgesetz über die Ausländerinnen und Ausländer vom 8. März 2002, BBl 2002 3818).</w:t>
      </w:r>
    </w:p>
    <w:p>
      <w:r>
        <w:rPr>
          <w:b/>
        </w:rPr>
        <w:t>E. 3.4.1</w:t>
      </w:r>
    </w:p>
    <w:p>
      <w:r>
        <w:t>In der angefochtenen Verfügung hielt die Vorinstanz im Wesentlichen fest, sie habe am 1. Mai 2007 für Personen, welche aus einer der drei von der kurdischen Regionalregierung kontrollierten nordirakischen Provinzen Dohuk, Erbil und Sulaymaniya stammen, eine Praxisänderung vorgenommen. Aufgrund der Sicherheits- und Menschenrechtslage herrsche in diesen Provinzen keine Situation allgemeiner Gewalt. Der Wegweisungsvollzug sei daher grundsätzlich zumutbar. In den erwähnten Provinzen sei die Sicherheitslage stabil, auch wenn sie von der unsicheren Lage im Zentral- und Südirak abhängig bleibe. Eine nachhaltige Verschlechterung sei aus heutiger Sicht allerdings nicht zu erwarten. Die Tatsache, dass zwischen Juli 2007 (recte: Juli 2006) und März 2007 über 400 Personen mit Rückkehrhilfe des BFM in den Irak zurückgekehrt seien (davon der weitaus grösste Anteil in den Nordirak), unterstreiche die Feststellungen zur Situation in dieser Region. Schliesslich sei festzustellen, dass sich auch das Amt des Hohen Flüchtlingskommissars der Vereinten Nationen (UNHCR) nicht grundsätzlich gegen Wegweisungen in die genannten Provinzen stelle. Nach Auffassung der Vorinstanz sprechen im vorliegenden Fall auch keine individuellen Gründe gegen die Zumutbarkeit des Wegweisungsvollzugs. Der Beschwerdeführer sei im Alter von 20 Jahren in die Schweiz eingereist, habe also den weitaus grössten Teil seines Lebens in seinem Heimatland verbracht und sei infolgedessen mit Sprache, Kultur, Lebens- und Arbeitsweise bestens vertraut. Die letzten Jahre vor der Ausreise habe er zusammen mit seinem Vater mit Kleidern gehandelt. Den Akten sei nicht zu entnehmen, dass er irgendwelche gesundheitlichen Probleme habe. Somit könne davon ausgegangen werden, dass er auch nach seiner Rückkehr in der Lage sein werde, die Sicherung seiner Existenz selbständig wieder an die Hand zu nehmen. Die Vorinstanz weist zudem darauf hin, dass bei fristgemässer Ausreise vom Angebot der Rückkehrhilfe Gebrauch gemacht werden könne. Mit dieser Rückkehrhilfe könne der Beschwerdeführer zusammen mit seiner Familie das Kleidergeschäft wieder in Schwung bringen und somit zur Existenzsicherung der ganzen Familie beitragen. Seine Familie werde ihm in der Anfangsphase zweifelsohne unterstützend zur Seite stehen.</w:t>
      </w:r>
    </w:p>
    <w:p>
      <w:r>
        <w:rPr>
          <w:b/>
        </w:rPr>
        <w:t>E. 3.4.2</w:t>
      </w:r>
    </w:p>
    <w:p>
      <w:r>
        <w:t>Der Beschwerdeführer macht in seiner Beschwerde im Weiteren geltend, die Schweizerische Flüchtlingshilfe äussere sich zur Region Kurdistan dahingehend, dass die Sicherheitslage aufgrund verschiedener Faktoren mit hohem Eskalationspotential weiterhin unvorhersehbar bleibe, obwohl es in den in Frage stehenden Provinzen keine systematische Terrorgewalt oder offene Gewalt gegen Angehörige ethnischer oder religiöser Gruppen geben würde. In den vergangenen drei Jahren seien in den Provinzen mehrere Anschläge verübt worden, einige davon nach dem Zeitpunkt der Änderung der Wegweisungspraxis des BFM. Ausserdem sei seit Februar 2007 eine eindeutige Verlagerung der Gewalt vom Südirak in Richtung Norden festzustellen. Die Lage im Nordirak sei höchst unsicher. So sei dort beispielsweise durchaus mit einer Militärbesetzung durch die Türkei zu rechnen. Somit wäre eine erzwungene Rückkehr von Flüchtlingen aus Europa vorerst verfrüht und würde den Aufbauprozess gefährden.</w:t>
      </w:r>
    </w:p>
    <w:p>
      <w:r>
        <w:rPr>
          <w:b/>
        </w:rPr>
        <w:t>E. 3.5</w:t>
      </w:r>
    </w:p>
    <w:p>
      <w:r>
        <w:t>Das Bundesverwaltungsgericht ist im zur Publikation vorgesehenen Grundsatzurteil E-4243/2007 vom 14. März 2008 aufgrund einer umfassenden Beurteilung der aktuellen Situation in den nordirakischen Provinzen Dohuk, Erbil und Sulaymaniya zum Schluss gekommen, dass in den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3.6</w:t>
      </w:r>
    </w:p>
    <w:p>
      <w:r>
        <w:t>Der Beschwerdeführer stammt aus der Provinz Dohuk, wo er seit seiner Geburt bis zur Ausreise gelebt hat. Ausserdem hat er eigenen Angaben zufolge zusammen mit seinem Vater mit Kleidern gehandelt. Angesichts des noch jungen Alters des Beschwerdeführers und seiner beruflichen Erfahrungen im Irak ist davon auszugehen, dass in seiner Heimat eine Reintegration in den Arbeitsmarkt möglich sein wird. Bei der Wiedereingliederung werden ihm seine in der Heimat verbliebenen Verwandten behilflich sein können. Die Rückkehrhilfe der Schweiz wird ihm den Wiedereinstieg in seiner Heimat ebenfalls erleichtern können. Zudem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4</w:t>
      </w:r>
    </w:p>
    <w:p>
      <w:r>
        <w:t>Aus diesen Erwägungen ergibt sich, dass die angefochtene Verfügung Bundesrecht nicht verletzt, den rechtserheblichen Sachverhalt richtig und vollständig feststellt und angemessen ist (Art. 106 AsylG). Die Beschwerde ist demnach abzuweisen. Dass die Vorinstanz irrtümlicherweise den Kanton (...) mit dem Vollzug der Wegweisung beauftragt hat, vermag daran nichts zu ändern, handelt es sich doch um ein reines Kanzleiversehen.</w:t>
      </w:r>
    </w:p>
    <w:p>
      <w:r>
        <w:rPr>
          <w:b/>
        </w:rPr>
        <w:t>E. 5</w:t>
      </w:r>
    </w:p>
    <w:p>
      <w:r>
        <w:t>Bei diesem Ausgang des Verfahrens wären die Kosten dem Beschwerdeführer aufzuerlegen (Art. 63 Abs. 1 VwVG) und auf insgesamt Fr. 600.-- festzusetzen (Art. 16 Abs. 1 Bst. a VGG i.V.m. Art. 1-3 des Reglements vom 21. Februar 2008 über die Kosten und Entschädigungen vor dem Bundesverwaltungsgericht [VGKE, SR 173.320.2]). Das mit der Beschwerde gestellte Gesuch um Gewährung der unentgeltlichen Rechtspflege ist jedoch gutzuheissen, zumal aufgrund der Akten von der Bedürftigkeit des Beschwerdeführers auszugehen ist und die Begehren zum Zeitpunkt der Beschwerdeerhebung nicht als von vornherein aussichtslos zu bezeichnen waren. Es sind daher keine Verfahrenskosten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