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D-7677/2016 vom 21. Dezember 2016</w:t>
      </w:r>
    </w:p>
    <w:p>
      <w:r>
        <w:t>Bundesverwaltungsgericht, 2016-12-21, DE</w:t>
      </w:r>
    </w:p>
    <w:p>
      <w:r>
        <w:rPr>
          <w:b/>
        </w:rPr>
        <w:t xml:space="preserve">Quelle: </w:t>
      </w:r>
      <w:r>
        <w:t>https://mcp.opencaselaw.ch/entscheid/bvger_D-7677_2016</w:t>
      </w:r>
    </w:p>
    <w:p>
      <w:r>
        <w:t>FR: TAF D-7677/2016 du 21 décembre 2016</w:t>
      </w:r>
    </w:p>
    <w:p>
      <w:r>
        <w:t>IT: TAF D-7677/2016 del 21 dicembre 2016</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fristgerecht eingereicht worden (Art. 108 Abs. 2 AsylG). Grundsätzlich sind Eingaben an das Bundesverwaltungsgericht nach Art. 16 Abs. 1 AsylG in einer der Amtssprachen abzufassen. Praxisgemäss nimmt das Bundesverwaltungsgericht in Flughafenverfahren wie dem vorliegenden jedoch auch in Fremdsprachen verfasste Eingaben entgegen und lässt sie von Amtes wegen in eine der Amtssprachen übersetzen. Unter diesen Umständen kann die Laieneingabe des Beschwerdeführers auch als formgerecht (vgl. Art. 52 Abs. 1 VwVG) entgegengenommen werden.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erachtet die Vorbringen des Beschwerdeführers aus diversen Gründen als unglaubhaft. Das Bundesverwaltungsgericht stellt zwar auch diverse Ungereimtheiten in den Schilderungen des Beschwerdeführers fest. Doch lässt die Vorinstanz die detailreichen, komplex ausgefallenen und mit mehreren Realkennzeichen versehenen Schilderungen insbesondere in der freien Erzählung (vgl. act. SEM A19 F121) als positive Glaubhaftigkeitsindikatoren praktisch unbeachtet. Auch erscheinen Schlagworte im politischen Wahlkampf ohne dahinterstehende fundierte politische Programme nicht gänzlich unüblich. Im Sinne der nachfolgenden Erwägungen kann jedoch auf eine vertiefte Glaubhaftigkeitsprüfung verzichtet werden, da auch wenn die Vorbringen als glaubhaft erachtet würden, diese die Voraussetzungen für die Erfüllung der Flüchtlingseigenschaft nach Art. 3 AsylG nicht zu erfüllen vermöchten.</w:t>
      </w:r>
    </w:p>
    <w:p>
      <w:r>
        <w:rPr>
          <w:b/>
        </w:rPr>
        <w:t>E. 5.2</w:t>
      </w:r>
    </w:p>
    <w:p>
      <w:r>
        <w:t>Die vom Beschwerdeführer geschilderten Drohungen, welche mit der Teilnahme an den Wahlen im Jahr 2010 und somit vor bereits gut sechs Jahren begonnen haben sollen, vermochten in diesen Jahren nie eine Intensität zu erreichen, wonach diese als ersthafte Nachteilen im Sinne von Art. 3 AsylG erachtet werden können. Auch die Unfälle mit dem Auto sowie das angebliche Verschwinden des Kindes lassen denn - würden sie als glaubhaft erachtet - keine Anhaltspunkte auf asylrelevante Behelligungen erkennen. Zudem schilderte der Beschwerdeführer, dass er sich den Drohungen durch einen Wegzug aus Z._______ habe entziehen können. Die Behelligungen in B._______ sind dann auch anderen Ursprungs als die Probleme in Z._______ und müssen lokal beschränkten Spannungen zugeordnet werden. Diese Behelligungen haben sich zurück in Z._______ auch nicht fortgesetzt. Es ist demnach - würden die Behelligungen in Z._______ entgegen den Erwartungen intensiver werden - durchaus von einer innerstaatlichen Schutzalternative an einem anderen Ort im Sudan oder auch innerhalb Z._______ s auszugehen, zumal der Beschwerdeführer bereits mehrmals sein wirtschaftliches Fortkommen an verschiedenen Orten und mittels verschiedenen Tätigkeiten zu prästieren vermochte. Sowohl die ausgerückte Feuerwehr als auch die Polizei gingen beim Brand in der Wohnung von einem elektrischen Defekt aus. Anzeichen für eine Brandstiftung aufgrund der Tätigkeiten des Beschwerdeführers gibt es hingegen keine, weshalb auch dieses Geschehnis als nicht asylrelevant einzustufen ist. Da der Beschwerdeführer zum einen trotz bestehen einer Ausreisesperre zwar mittels Bestechung aber mit seinem eigenen Reisepass ausgereist ist, obschon er zu diesem Zeitpunkt bereits den anderen Pass gekauft hatte und er zum anderen sich im Jahr 2015 noch einen Pass hat ausstellen lassen können, ist von dieser Ausreisesperre nicht auf eine asylrelevante Bedrohung zu schliessen. Das Bundesverwaltungsgericht anerkennt schliesslich, dass das Leben in Z._______ mit einer Familie gewiss nicht einfach ist. Diese allgemein schwierige Lage vermag jedoch die Vorausserzungen an die gezielten ersthaften Nachteile im Sinne von Art. 3 AsylG nicht zu erfüllen. Auch die Ausführungen in der Beschwerde vermögen an dieser Einschätzung nichts zu ändern.</w:t>
      </w:r>
    </w:p>
    <w:p>
      <w:r>
        <w:rPr>
          <w:b/>
        </w:rPr>
        <w:t>E. 5.3</w:t>
      </w:r>
    </w:p>
    <w:p>
      <w:r>
        <w:t>Dem Beschwerdeführer ist es somit nicht gelungen, eine Verfolgung oder begründete Furcht vor zukünftiger Verfolgung im Sinne von Art. 3 AsylG glaubhaft darzulegen. Die Vorinstanz hat zu Recht die Flüchtlingseigenschaft des Beschwerdeführers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Sudan ist demnach unter dem Aspekt von Art. 5 AsylG rechtmässig. Sodann ergeben sich weder aus den Aussagen des Beschwerdeführers noch aus den Akten Anhaltspunkte dafür, dass er für den Fall einer Ausschaffung in den Sudan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Sudan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Die aktuelle Rechtsprechung des Bundesverwaltungsgerichts geht derzeit - abgesehen von der Region Darfur - nicht von einer Situation allgemeiner Gewalt im Sudan aus, aufgrund derer die Zivilbevölkerung als konkret gefährdet bezeichnet werden müsste (vgl. Urteil des Bundesverwaltungsgerichts D-6823/2014 vom13. März 2015 m.w.H.). Auch sprechen keine persönlichen Gründe wirtschaftlicher, sozialer oder gesundheitlicher Natur gegen den Vollzug der Wegweisung. Der Beschwerdeführer hat ein Studium an der Universität abgeschlossen und verfügt über mehrere Jahre Berufserfahrung. Zudem leben seine Frau und seine vier Kinder sowie diverse nahe Verwandte in Z._______ . Es ist anzunehmen, dass insbesondere die Verwandten ihm nach der Rückkehr bei der Reintegration und beim Aufbau eines eigenständigen Lebens unterstützend zur Seite stehen. Entsprechend ist nicht davon auszugehen, dass der Beschwerdeführer nach seiner Rückkehr in den Sudan in eine existenzgefährdende Situation geraten könnte.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Nach vorstehenden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9</w:t>
      </w:r>
    </w:p>
    <w:p>
      <w:r>
        <w:t>Das Beschwerdeverfahren ist mit vorliegendem Urteil abgeschlossen, weshalb sich das Gesuch um Verzicht auf die Erhebung eines Kostenvorschusses als gegenstandslos erweist.</w:t>
      </w:r>
    </w:p>
    <w:p>
      <w:r>
        <w:rPr>
          <w:b/>
        </w:rPr>
        <w:t>E. 10</w:t>
      </w:r>
    </w:p>
    <w:p>
      <w:r>
        <w:t>Nach dem Gesagten ist das mit der Beschwerde gestellte Gesuch um Gewährung der unentgeltlichen Prozessführung abzuweisen, da die Begehren - wie sich aus den vorstehenden Erwägungen ergibt - als aussichtlos zu bezeichnen waren, weshalb die Voraussetzungen von Art. 65 Abs. 1 VwVG nicht erfüllt sind. Daher sind bei diesem Ausgang des Verfahrens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