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D-766/2023 vom 24. November 2023</w:t>
      </w:r>
    </w:p>
    <w:p>
      <w:r>
        <w:t>Bundesverwaltungsgericht, 2023-11-24, FR</w:t>
      </w:r>
    </w:p>
    <w:p>
      <w:r>
        <w:rPr>
          <w:b/>
        </w:rPr>
        <w:t xml:space="preserve">Quelle: </w:t>
      </w:r>
      <w:r>
        <w:t>https://mcp.opencaselaw.ch/entscheid/bvger_D-766_2023</w:t>
      </w:r>
    </w:p>
    <w:p>
      <w:r>
        <w:t>FR: TAF D-766/2023 du 24 novembre 2023</w:t>
      </w:r>
    </w:p>
    <w:p>
      <w:r>
        <w:t>IT: TAF D-766/2023 del 24 novembre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par-devant le Tribunal, lequel statue de manière définitive, sauf en cas de demande d'extradition déposée par l'Etat dont le requérant cherche à se protéger, exception non réalisée en l'espèce (art. 1 al. 2 et art. 33 let. d de la loi du 17 juin 2005 sur le Tribunal administratif fédéral [LTAF, RS 173.32], applicables par renvoi de l'art. 105 LAsi, en relation avec l'art. 83 let. d ch. 1 de la loi du 17 juin 2005 sur le Tribunal fédéral [LTF, RS 173.110]).</w:t>
      </w:r>
    </w:p>
    <w:p>
      <w:r>
        <w:rPr>
          <w:b/>
        </w:rPr>
        <w:t>E. 1.2</w:t>
      </w:r>
    </w:p>
    <w:p>
      <w:r>
        <w:t>L'intéressée, agissant en son nom et pour son propre compte, a qualité pour recourir (art. 48 al. 1 de la loi fédérale du 20 décembre 1968 sur la procédure administrative [PA, RS 172.021], applicable par renvoi de l'art. 37 LTAF). Interjeté dans la forme et dans le délai prescrits par la loi (art. 52 al. 1 PA et art. 108 al. 3 LAsi), son recours est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En l'occurrence, il y a lieu de déterminer si le SEM pouvait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l'espèce, les critères énumérés au chapitre III RD III (art. 8 à 15) doivent être appliqués successivement (principe de l'application hiérarchique des critères de compétence, art. 7 par. 1 RD III). Pour ce faire, il sied de se baser sur la situation existant au moment du dépôt de la première demande dans un état membre (principe de pétrification, art. 7 par. 2 RD III).</w:t>
      </w:r>
    </w:p>
    <w:p>
      <w:r>
        <w:rPr>
          <w:b/>
        </w:rPr>
        <w:t>E. 3.5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En application de l'art. 13 par. 1 RD III, lorsqu'il est établi, sur la base de preuves ou d'indices, tels qu'ils figurent dans les deux listes mentionnées à l'art. 22 par. 3 RD III,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les investigations entreprises par le SEM ont révélé, après consultation de l'unité centrale du système européen « Eurodac », que l'intéressé avait franchi illégalement la frontière du territoire des Etats Dublin en Croatie, ensuite de quoi ses empreintes digitales ont été prélevées (...). Ces éléments sont au demeurant corroborés par les déclarations de A._______ au cours de son entretien individuel Dublin (cf. procès-verbal de l'audition du 7 novembre 2022, p. 1, pièce no 13/3 de l'e-dossier).</w:t>
      </w:r>
    </w:p>
    <w:p>
      <w:r>
        <w:rPr>
          <w:b/>
        </w:rPr>
        <w:t>E. 4.2</w:t>
      </w:r>
    </w:p>
    <w:p>
      <w:r>
        <w:t>En date du 23 novembre 2022, le SEM a dès lors soumis aux autorités croates compétentes, dans le délai fixé à l'art. 21 par.1 RD III, une requête aux fins de prise en charge du requérant, fondée sur l'art. 13 par. 1 de ce même règlement.</w:t>
      </w:r>
    </w:p>
    <w:p>
      <w:r>
        <w:rPr>
          <w:b/>
        </w:rPr>
        <w:t>E. 4.3</w:t>
      </w:r>
    </w:p>
    <w:p>
      <w:r>
        <w:t>Par communication du 23 janvier 2023, soit dans le délai fixé par l'art. 22 par. 1 RD III, l'Unité Dublin Croatie a expressément accepté de prendre en charge l'intéressé sur la base de la disposition réglementaire susmentionnée.</w:t>
      </w:r>
    </w:p>
    <w:p>
      <w:r>
        <w:rPr>
          <w:b/>
        </w:rPr>
        <w:t>E. 4.4</w:t>
      </w:r>
    </w:p>
    <w:p>
      <w:r>
        <w:t>Il résulte de ce qui précède qu'en l'espèce, la compétence de la Croatie pour le traitement de la demande de protection du requérant est donnée au regard des critères de détermination de l'Etat membre responsable (art. 7 ss RD III, in casu art. 13 par. 1 RD III), ce que le recourant ne conteste pas au demeurant.</w:t>
      </w:r>
    </w:p>
    <w:p>
      <w:r>
        <w:rPr>
          <w:b/>
        </w:rPr>
        <w:t>E. 5.1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requérants, au sens de l'art. 3 par. 2 al. 2 RD III. En pareille hypothèse, l'Etat requérant doit renoncer au transfert.</w:t>
      </w:r>
    </w:p>
    <w:p>
      <w:r>
        <w:rPr>
          <w:b/>
        </w:rPr>
        <w:t>E. 5.5</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à l'heure actuelle d'indices suffisants permettant de considérer que les personnes renvoyées en Croatie risquent d'être expulsées de manière illégale de ce pays, sans qu'une procédure d'asile ne soit ouverte et menée à terme. Il a dès lors été jugé d'autant moins probable que cela puisse se produire de manière systématique (cf. ibidem, consid. 9.4.4). Selon les informations actuellement disponibles,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5.6</w:t>
      </w:r>
    </w:p>
    <w:p>
      <w:r>
        <w:t>Au vu de ce qui précède, en l'absence d'une pratique actuelle avérée en Croatie de violations systématiques de normes communautaires ou conventionnelles en matière d'asile, la présomption de respect par cet Etat de ses obligations internationales à l'égard des requérants d'asile n'est pas renversée.</w:t>
      </w:r>
    </w:p>
    <w:p>
      <w:r>
        <w:rPr>
          <w:b/>
        </w:rPr>
        <w:t>E. 5.7</w:t>
      </w:r>
    </w:p>
    <w:p>
      <w:r>
        <w:t>Il en résulte que l'application de l'art. 3 par. 2 al. 2 RD III ne se justifie pas par rapport à ce pays.</w:t>
      </w:r>
    </w:p>
    <w:p>
      <w:r>
        <w:rPr>
          <w:b/>
        </w:rPr>
        <w:t>E. 6.1</w:t>
      </w:r>
    </w:p>
    <w:p>
      <w:r>
        <w:t>L'intéressé s'est opposé à son transfert en Croatie en soutenant en substance qu'il y aurait été maltraité, brusqué et injurié. Concrètement, il aurait été soumis à une fouille corporelle à nu, aurait été contraint à déposer ses empreintes digitales et aurait dû dormir à l'extérieur. Il a affirmé en outre que les Turcs étaient violentés dans ce pays, raison pour laquelle il aurait tenté sans succès de se faire passer pour un ressortissant irakien (cf. procès-verbal de l'audition du 7 novembre 2022, p. 2, pièce no 13/3 de l'e-dossier, p. 2). Au stade du recours, il a allégué ne pas souhaiter être transféré dans l'Etat en question et n'avoir jamais voulu y déposer une demande de protection. Il a également réitéré ses affirmations en lien avec la prise de force de ses empreintes digitales et s'est en outre référé à de prétendues assurances de la part des autorités croates selon lesquelles ses données dactyloscopiques ne seraient pas référencées dans le système « Eurodac ». Il a également affirmé dans ce cadre que durant son transit par la Croatie, il avait été « torturé physiquement et psychologiquement », ainsi qu'humilié, qu'il n'avait aucune confiance dans l'Etat croate et qu'il craignait de se voir renvoyer en Turquie (cf. acte de recours, p. 2).</w:t>
      </w:r>
    </w:p>
    <w:p>
      <w:r>
        <w:rPr>
          <w:b/>
        </w:rPr>
        <w:t>E. 6.2</w:t>
      </w:r>
    </w:p>
    <w:p>
      <w:r>
        <w:t>Au regard des éléments précités, l'intéressé a implicitement requis l'application de la clause de souveraineté, prévue à l'art. 17 par. 1 RD III. Selon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Sur la base du droit interne, le SEM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6.3</w:t>
      </w:r>
    </w:p>
    <w:p>
      <w:r>
        <w:t>En l'occurrence, le recourant n'a fourni aucun élément concret et sérieux susceptible de démontrer qu'en cas de dépôt d'une demande d'asile en Croatie, les autorités de ce pays refuseraient de le prendre en charge et de mener une procédure d'examen de sa demande de protection internationale, en violation de la directive Procédure. A ce titre, le Tribunal remarque que le cas échéant, il reviendra à l'intéressé d'entreprendre les démarches nécessaires à l'ouverture d'une procédure d'asile dès son arrivée sur le territoire croate.</w:t>
      </w:r>
    </w:p>
    <w:p>
      <w:r>
        <w:rPr>
          <w:b/>
        </w:rPr>
        <w:t>E. 6.4</w:t>
      </w:r>
    </w:p>
    <w:p>
      <w:r>
        <w:t>Pour le reste, indépendamment d'allégations vagues et de nature péremptoire (cf. acte de recours, p. 2), le dossier ne fait pas état d'indice de nature à démontrer que la Croatie ne respecterait pas le principe du non-refoulement, de sorte qu'elle pourrait faillir à ses obligations internationales en renvoyant le recourant dans un pays où sa vie, son intégrité corporelle ou sa liberté seraient menacées, ou depuis lequel il risquerait d'être astreint à se rendre dans un tel pays.</w:t>
      </w:r>
    </w:p>
    <w:p>
      <w:r>
        <w:rPr>
          <w:b/>
        </w:rPr>
        <w:t>E. 6.5</w:t>
      </w:r>
    </w:p>
    <w:p>
      <w:r>
        <w:t>Le recourant ne s'est pas non plus prévalu d'éléments sérieux, objectifs et convaincants, aptes à démontrer qu'en cas de retour en Croatie, il serait durablement privé de tout accès aux conditions matérielles minimales d'accueil prévues par la directive Accueil. Il n'a pas davantage établi que, le cas échéant, il ne pourrait pas bénéficier de l'aide requise afin de faire valoir ses droits. Si l'intéressé a certes soutenu avoir été « maltraité » par la police croate, en ce sens notamment qu'il aurait été soumis à une fouille à nu et astreint à la prise de ses empreintes digitales (cf. procès-verbal de l'audition du 7 novembre 2022, p. 2, pièce no 13/3 de l'e-dossier ; acte de recours, p. 2), il n'est pas pour autant parvenu à démontrer à satisfaction de droit que ses conditions de prise en charge revêtiraient à l'avenir un degré de pénibilité et de gravité tel qu'elles seraient constitutives d'un traitement contraire à l'art. 3 CEDH ou à l'art. 3 Conv. torture. En tout état de cause, le Tribunal rappelle que tous les Etats membres du système Dublin sont tenus d'enregistrer les données dactyloscopiques de ressortissants d'Etats tiers ou d'apatrides interceptés lors du passage illégal d'une frontière extérieure à l'espace Dublin (cf. arrêt du Tribunal D-855/2023 du 8 mars 2023 consid. 8.4 rendu dans le contexte des transferts Dublin en Bulgarie). Par ailleurs, la mise en oeuvre de contrôles et fouilles s'avère également légitime dans le contexte d'une telle interpellation, de sorte que sur la base des éléments qui ressortent du dossier, il n'est pas possible de retenir la prévalence d'obstacles à l'exécution du transfert du recourant en Croatie. En outre et surtout, les assertions de l'intéressé ne sont pas décisives quant à la conformité de son transfert par rapport aux dispositions susmentionnées, attendu qu'il n'existe aucune raison d'admettre que sa remise aux autorités croates à Zagreb (cf. déclaration d'acceptation de l'Unité Dublin Croatie, p. 1, pièce no 17/1 de l'e-dossier) risquerait de l'exposer à une situation similaire à celle à laquelle il prétend avoir été confronté après son interpellation en zone frontalière, en tant que personne étrangère en situation irrégulière.</w:t>
      </w:r>
    </w:p>
    <w:p>
      <w:r>
        <w:rPr>
          <w:b/>
        </w:rPr>
        <w:t>E. 6.6</w:t>
      </w:r>
    </w:p>
    <w:p>
      <w:r>
        <w:t>Quoi qu'il en soit, si après son retour en Croatie,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le cas échéant, de faire valoir ses prétentions directement auprès des autorités compétentes de cet Etat, en usant des voies de droit idoines (art. 26 directive Accueil). A cet égard, il pourra, si nécessaire, s'adresser aux organisations caritatives oeuvrant sur place (cf. arrêt du Tribunal D-3062/2023 du 7 juin 2023 consid. 7.6 et réf. cit).</w:t>
      </w:r>
    </w:p>
    <w:p>
      <w:r>
        <w:rPr>
          <w:b/>
        </w:rPr>
        <w:t>E. 6.7</w:t>
      </w:r>
    </w:p>
    <w:p>
      <w:r>
        <w:t>Relativement à sa situation médicale, A._______ a expressément relevé dans le cadre de la procédure devant le SEM qu'il ne souffrait d'aucun problème de santé (cf. procès-verbal de l'audition du 7 novembre 2022, p. 2, pièce no 13/3 de l'e-dossier). En outre, le dossier de la cause ne comporte pas non plus d'indice qui permettrait de retenir l'existence d'obstacles dirimants à l'exécution du transfert en Croatie sur le plan médical, à l'aune des exigences jurisprudentielles strictes auxquelles il y a lieu de se référer en la matière (cf. arrêt de la Cour européenne des droits de l'homme [ci-après : CourEDH] Paposhvili c. Belgique du 13 décembre 2016, requête no 41738/10).</w:t>
      </w:r>
    </w:p>
    <w:p>
      <w:r>
        <w:rPr>
          <w:b/>
        </w:rPr>
        <w:t>E. 6.8</w:t>
      </w:r>
    </w:p>
    <w:p>
      <w:r>
        <w:t>Parvenu à ce stade, il doit être souligné que le simple voeux exprimé par l'intéressé de ne pas se voir transférer en Croatie, pays dans lequel il déclare ne pas souhaiter déposer une demande d'asile (cf. acte de recours, p. 2) n'est pas déterminant, étant rappelé que le RD III ne confère pas aux demandeurs d'asile le droit de choisir l'Etat membre offrant, à leur avis, les meilleures conditions d'accueil comme Etat responsable de l'examen de leur demande de protection (cf. ATAF 2017 VI/7 consid. 6.11 ; 2017 VI/5 consid. 8.2.1).</w:t>
      </w:r>
    </w:p>
    <w:p>
      <w:r>
        <w:rPr>
          <w:b/>
        </w:rPr>
        <w:t>E. 6.9</w:t>
      </w:r>
    </w:p>
    <w:p>
      <w:r>
        <w:t>Pour le surplus, il peut être renvoyé aux considérants de la décision entreprise, dès lors que ceux-ci sont suffisamment explicites et motivés (art. 109 al. 3 LTF, par renvoi de l'art. 4 PA), et que le recours ne contient pas d'éléments nouveaux et déterminants, susceptibles d'en remettre en cause le bien-fondé.</w:t>
      </w:r>
    </w:p>
    <w:p>
      <w:r>
        <w:rPr>
          <w:b/>
        </w:rPr>
        <w:t>E. 6.10</w:t>
      </w:r>
    </w:p>
    <w:p>
      <w:r>
        <w:t>Au vu de ce qui précède, le transfert du recourant vers la Croatie n'est pas contraire aux dispositions de droit international public liant la Suisse, de sorte que c'est à juste titre que l'autorité inférieure n'a pas fait application de l'art. 17 par. 1 RD III, en lien avec les normes conventionnelles précitées.</w:t>
      </w:r>
    </w:p>
    <w:p>
      <w:r>
        <w:rPr>
          <w:b/>
        </w:rPr>
        <w:t>E. 6.11</w:t>
      </w:r>
    </w:p>
    <w:p>
      <w:r>
        <w:t>Par ailleurs, le SEM a établi de manière complète et exacte l'état de fait pertinent et n'a commis ni excès ni abus de son large pouvoir d'appréciation en refusant d'admettre à teneur de sa décision (cf. décision querellée, point II in fine, p. 6, pièce no 20/16 de l'e-dossier) l'existence de raisons humanitaires au sens de l'art. 29a al. 3 OA 1, en combinaison avec l'art. 17 par. 1 RD III (cf. ATAF 2015/9 consid. 8).</w:t>
      </w:r>
    </w:p>
    <w:p>
      <w:r>
        <w:rPr>
          <w:b/>
        </w:rPr>
        <w:t>E. 7</w:t>
      </w:r>
    </w:p>
    <w:p>
      <w:r>
        <w:t>En définitive, c'est donc à bon droit que l'autorité intimée n'est pas entrée en matière sur la demande d'asile de l'intéressé, en application de l'art. 31a al. 1 let. b LAsi, et qu'elle a prononcé son transfert de la Suisse vers la Croatie, conformément à l'art. 44 LAsi, aucune exception à la règle générale du renvoi n'étant réalisée (art. 32 OA 1).</w:t>
      </w:r>
    </w:p>
    <w:p>
      <w:r>
        <w:rPr>
          <w:b/>
        </w:rPr>
        <w:t>E. 8.1</w:t>
      </w:r>
    </w:p>
    <w:p>
      <w:r>
        <w:t>Il résulte des considérants qui précèdent que le recours interjeté le 8 février 2023 doit être intégralement rejeté.</w:t>
      </w:r>
    </w:p>
    <w:p>
      <w:r>
        <w:rPr>
          <w:b/>
        </w:rPr>
        <w:t>E. 8.2</w:t>
      </w:r>
    </w:p>
    <w:p>
      <w:r>
        <w:t>S'avérant manifestement infondé, il est rejeté dans une procédure à juge unique, avec l'approbation d'un second juge (art. 111a al. 1 LAsi). Il est dès lors renoncé à un échange d'écritures (art. 111a al. 1 LAsi).</w:t>
      </w:r>
    </w:p>
    <w:p>
      <w:r>
        <w:rPr>
          <w:b/>
        </w:rPr>
        <w:t>E. 8.3</w:t>
      </w:r>
    </w:p>
    <w:p>
      <w:r>
        <w:t>Le prononcé immédiat du présent arrêt rend caduque l'ordonnance de mesures superprovisionnelles du 10 février 2023.</w:t>
      </w:r>
    </w:p>
    <w:p>
      <w:r>
        <w:rPr>
          <w:b/>
        </w:rPr>
        <w:t>E. 8.4</w:t>
      </w:r>
    </w:p>
    <w:p>
      <w:r>
        <w:t>Il implique par ailleurs que la demande d'octroi de l'effet suspensif au recours (art. 107a al. 2 LAsi) est désormais sans objet.</w:t>
      </w:r>
    </w:p>
    <w:p>
      <w:r>
        <w:rPr>
          <w:b/>
        </w:rPr>
        <w:t>E. 8.5</w:t>
      </w:r>
    </w:p>
    <w:p>
      <w:r>
        <w:t>Relativement à la demande d'assistance judiciaire « totale » formulée par le recourant (cf. acte de recours, ch. 5 des conclusions, p. 2, en lien avec la requête brièvement motivée en p. 1), le Tribunal remarque que l'intéressé a uniquement indiqué ne pas pouvoir faire face aux frais de la procédure et qu'il n'a pas requis expressément le soutien d'un mandataire d'office. Il a d'ailleurs déposé un recours qui peut être qualifié de complet, aux termes duquel il n'a nullement allégué avoir été empêché d'exposer tous ses arguments. Dans ces circonstances et nonobstant le libellé de sa requête, celle-ci doit être considérée, in casu, comme une demande d'assistance judiciaire partielle. Dans la mesure où les conclusions du recours n'étaient en l'occurrence pas d'emblée vouées à l'échec et dès lors que le recourant peut en l'espèce être tenu pour indigent, il y a lieu d'admettre la requête de dispense du paiement des frais de procédure (art. 65 al. 1 PA).</w:t>
      </w:r>
    </w:p>
    <w:p>
      <w:r>
        <w:rPr>
          <w:b/>
        </w:rPr>
        <w:t>E. 8.6</w:t>
      </w:r>
    </w:p>
    <w:p>
      <w:r>
        <w:t>Au vu de ce qui précède, il convient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