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D-7669/2025 vom 6. September 2025</w:t>
      </w:r>
    </w:p>
    <w:p>
      <w:r>
        <w:t>Bundesverwaltungsgericht, 2025-09-06, FR</w:t>
      </w:r>
    </w:p>
    <w:p>
      <w:r>
        <w:rPr>
          <w:b/>
        </w:rPr>
        <w:t xml:space="preserve">Quelle: </w:t>
      </w:r>
      <w:r>
        <w:t>https://mcp.opencaselaw.ch/entscheid/bvger_D-7669_2025_d20250906</w:t>
      </w:r>
    </w:p>
    <w:p>
      <w:r>
        <w:t>FR: TAF D-7669/2025 du 6 septembre 2025</w:t>
      </w:r>
    </w:p>
    <w:p>
      <w:r>
        <w:t>IT: TAF D-7669/2025 del 6 settembre 2025</w:t>
      </w:r>
    </w:p>
    <w:p>
      <w:pPr>
        <w:pStyle w:val="Heading2"/>
      </w:pPr>
      <w:r>
        <w:t>Regeste</w:t>
      </w:r>
    </w:p>
    <w:p>
      <w:r>
        <w:t>Asile et renvoi | Asile et renvoi; décision du SEM du 6 septembre 2025 / N (...)</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L’intéressée a qualité pour recourir pour elle-même ainsi que pour le compte de sa fille mineure (art. 48 al. 1 PA). Interjeté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D-7669/2025 Page 5</w:t>
      </w:r>
    </w:p>
    <w:p>
      <w:r>
        <w:rPr>
          <w:b/>
        </w:rPr>
        <w:t>E. 2.3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Dans sa jurisprudence, le Tribunal part en général du principe que les autorités pénales et judiciaires turques sont capables et désireuses de protéger leurs citoyens, y compris d’ethnie kurde. Il s’est en effet prononcé à plusieurs reprises sur la capacité et la volonté de protection des autorités turques en ce qui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 E-5224/2025 du 11 août 2025 consid. 4.2.1 et jurisp. cit.). Le fait que ce pays a déclaré se retirer de la Convention d’Istanbul en date du 20 mars 2021, avec effet au 1er juillet suivant, ne saurait, en l’état, être considéré comme une évolution négative de la législation turque ni comme un changement profond de la société. Cette décision ne constitue pas davantage une manifestation claire de la volonté des autorités turques de ne plus garantir la protection nécessaire aux femmes victimes de telles violences (cf. arrêt E-5224/2025 précité consid. 4.2.1 et jurisp. cit.). Cela étant, les différentes sources invoquées par les intéressées dans le recours, tendant à démontrer tant l’absence de volonté que l’incapacité des autorités turques à assurer une protection effective aux femmes victimes de violences liées au genre, ne sont pas de nature à remettre en cause l’appréciation du Tribunal. Les éléments qui en ressortent ne permettent en effet pas d’établir l’existence d’un changement substantiel du cadre législatif en Turquie, d’une évolution significative de la situation sociopolitique interne, ni d’une carence généralisée ou systémique des autorités compétentes à accorder la protection requise. Elles ne sauraient, dès lors, être considérées comme des éléments nouveaux ou pertinents,</w:t>
      </w:r>
    </w:p>
    <w:p>
      <w:r>
        <w:t>D-7669/2025 Page 6 propres à remettre en question la jurisprudence constante en la matière (cf. en particulier arrêt de référence cité plus haut).</w:t>
      </w:r>
    </w:p>
    <w:p>
      <w:r>
        <w:rPr>
          <w:b/>
        </w:rPr>
        <w:t>E. 3.2</w:t>
      </w:r>
    </w:p>
    <w:p>
      <w:r>
        <w:t>Dans ces conditions, sans vouloir minimiser les problèmes que peuvent rencontrer les femmes victimes de violences de genre en Turquie, il y a lieu de se rallier à l’appréciation du SEM, selon laquelle les intéressées auraient pu et dû solliciter la protection des autorités de leur pays d’origine. Le recours ne contient aucun élément propre à démontrer que cette protection aurait été, pour l’une ou l’autre des intéressées, inaccessible ou manifestement insuffisante. Le pourvoi se limite, en effet, à des considérations générales sur les violences commises à l’encontre des femmes en Turquie, sans établir de lien concret avec la situation personnelle des recourantes. Or, ainsi qu’il a été exposé, les violences domestiques ne constituent pas un motif pertinent au regard du droit d’asile lorsque, comme en l’espèce, une protection nationale effective est disponible et accessible. Aussi, si les recourantes devaient à nouveau être confrontées dans leur pays d’origine à des agissements violents, menaçants ou à caractère sexuel inapproprié ou non consenti, il leur appartiendrait de solliciter les autorités de leur pays d’origine, le cas échéant en faisant appel aux autorités supérieures, qu’elles soient policières, civiles ou politiques, voire à une organisation de défense des droits des femmes ou encore à un avocat, démarches qu’aucune des deux n’ont entreprises en Turquie (à cet égard, cf. arrêt E-5224/2025 précité consid. 4.3 et jurisp. cit.). A._______ a certes expliqué qu’elle n’avait pas porté plainte contre son mari en raison des menaces de celui-ci (cf. procès-verbal d’audition de A._______ [p.-v.] du 28 août 2024, réponse à la question 110). Or, ses craintes ne sont pas en adéquation avec certains éléments du récit de l’intéressée. Ainsi, elle a suivi sa fille quand celle-ci a quitté le domicile familial, puis elle a commencé à dormir sur son lieu de travail, ce qui ne lui a pas causé de problème particulier, sinon celui de devoir montrer à son mari en vidéo sur son portable, la maison où elle se trouvait (cf. p.-v. du 28 août 2024, réponse à la question 113). Ensuite, elle a fait preuve d’une grande autonomie en mettant de l’argent de son salaire de côté, en se faisant établir un passeport, puis en organisant son départ avec une personne inconnue, rencontrée par hasard dans le bus (cf. p.-v. du 28 août 2024, réponses aux questions 54 à 67). Enfin, le fait que son employeuse aurait pu porter plainte à la place de l’intéressée démontre également que cette démarche devant les autorités compétentes turques était envisageable et pouvait être attendue de la part de la recourante (cf. p.-v. du 28 août 2024, réponse à la question 111).</w:t>
      </w:r>
    </w:p>
    <w:p>
      <w:r>
        <w:t>D-7669/2025 Page 7 S’agissant de C._______, elle aurait menacé son père de porter plainte contre lui à la police, mais aurait finalement renoncé en raison de l’intervention de son frère. Auditionnée sur les raisons pour lesquelles elle n’avait pas contacté les autorités à d’autres occasions, sa réponse selon laquelle les endroits où elle se rendait, en particulier au travail et au sport, étaient « déterminés » ne saurait convaincre (cf. p.-v. du 28 août 2024, réponses aux questions 40 et 41, p. 7), ce d’autant qu’elle aurait, selon ses dires, quitté le domicile familial pour s’installer chez une amie. Dès lors, rien ne permet de conclure que les intéressées ont été empêchées de dénoncer aux autorités compétentes turques les faits invoqués et ne pourraient le faire à l’avenir en cas de besoin, étant précisé que l’aide de celles-ci est généralement plus accessible dans une grande ville telle qu’F._______, où elles résidaient avant leur départ du pays, que dans les régions rurales (cf. arrêt du Tribunal E-5279/2024 du 10 mars 2025 consid. 3.3.2). Au demeurant, les intéressées conservent la possibilité de s’installer dans une autre région du pays, par exemple à E._______, où elles ont de la famille et avaient l’habitude d’aller en vacances (cf. p-v d’audition de C._______ du 28 août 2024, réponses aux questions 22 s.), afin d’éviter toute confrontation future avec leur mari, respectivement père ou oncle. Dans ces conditions, on ne saurait admettre que l’exil en Suisse constituait leur seule issue.</w:t>
      </w:r>
    </w:p>
    <w:p>
      <w:r>
        <w:rPr>
          <w:b/>
        </w:rPr>
        <w:t>E. 3.3</w:t>
      </w:r>
    </w:p>
    <w:p>
      <w:r>
        <w:t>Pour le surplus, il y a lieu de se référer aux considérants de la décision entreprise, lesquels sont suffisamment clairs et motivés, conformément à l’art. 109 al. 3 LTF (par renvoi de l’art. 4 PA). Le recours ne contient par ailleurs aucun élément nouveau propre à remettre en cause le bien-fondé de cette décision.</w:t>
      </w:r>
    </w:p>
    <w:p>
      <w:r>
        <w:rPr>
          <w:b/>
        </w:rPr>
        <w:t>E. 3.4</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D-7669/2025 Page 8</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En l’espèce, l’exécution du renvoi ne contrevient pas au principe de non-refoulement de l'art. 5 LAsi, les recourantes n'ayant pas démontré, pour les motifs retenus précédemment, qu'elles seraient, en cas de retour dans leur pays, exposées à de sérieux préjudices au sens de l'art. 3 LAsi.</w:t>
      </w:r>
    </w:p>
    <w:p>
      <w:r>
        <w:rPr>
          <w:b/>
        </w:rPr>
        <w:t>E. 6.3</w:t>
      </w:r>
    </w:p>
    <w:p>
      <w:r>
        <w:t>Pour les mêmes raisons, il n’y a pas lieu d’admettre qu’il existerait pour elles un véritable risque concret et sérieux d'être victimes, en cas de retour dans leur pays d'origine, de traitements inhumains ou dégradants (art. 3 CEDH et 3 de la Convention du 10 décembre 1984 contre la torture et autres peines ou traitements cruels, inhumains ou dégradants [Conv. torture, RS 0.105]).</w:t>
      </w:r>
    </w:p>
    <w:p>
      <w:r>
        <w:rPr>
          <w:b/>
        </w:rPr>
        <w:t>E. 6.4</w:t>
      </w:r>
    </w:p>
    <w:p>
      <w:r>
        <w:t>L’exécution de leur renvoi s’avère donc licite (art. 83 al. 3 LEI ; cf.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w:t>
      </w:r>
    </w:p>
    <w:p>
      <w:r>
        <w:t>D-7669/2025 Page 9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l’occurrence, il est notoire que la Turquie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7.3</w:t>
      </w:r>
    </w:p>
    <w:p>
      <w:r>
        <w:t>En outre, sans nier les difficultés personnelles auxquelles les intéressées pourraient être confrontées, ni les obstacles d’ordre socio- économique affectant de manière générale la population turque, le Tribunal considère que plusieurs éléments favorables existent en l’espèce. Ainsi, A._______ est au bénéfice d’expériences professionnelles, ayant travaillé dans le domaine du (…) et ayant fait (…) ainsi que (…). Ces activités lui ont permis dans le passé de subvenir à ses besoins de manière autonome, ne pouvant attendre aucune contribution financière de son mari. Par ailleurs, C._______ a elle aussi travaillé comme (…) dans (…). Enfin, les intéressées pourront s’appuyer sur un important réseau familial sur place.</w:t>
      </w:r>
    </w:p>
    <w:p>
      <w:r>
        <w:rPr>
          <w:b/>
        </w:rPr>
        <w:t>E. 7.4.1</w:t>
      </w:r>
    </w:p>
    <w:p>
      <w:r>
        <w:t>S’agissant des personnes en traitement médical en Suisse l’exécution de leur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t>D-7669/2025 Page 10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7.4.2</w:t>
      </w:r>
    </w:p>
    <w:p>
      <w:r>
        <w:t>En l’occurrence, selon les documents médicaux turcs et suisses produits au dossier, A._______ a été hospitalisée du (…) au (…) juillet 2024 en raison d’un (…) et a séjourné dans un établissement hospitalier du (…) au (…) août 2024 suite à une (…). Par ailleurs, elle a été prise en charge en Turquie en raison d’un (…), diagnostiqué en 2016 et d’un (…), diagnostiqué en 2022. Elle a dû se soumettre à une (…) et à une (…) qui s’est terminée en janvier 2024. En outre, elle présente une (…) également diagnostiquée en Turquie en 2014. Selon le dernier rapport médical produit, sur le plan oncologique, elle ne présente pas de signe de récidive de la maladie et ne nécessite pas de traitement, mais un suivi semestriel (cf. rapport du 19 décembre 2024). Enfin, elle souffre d’un (…) pour lequel un traitement médicamenteux et un suivi psychologique ont été mis en place. Quant à C._______, elle a des idées suicidaires non scénarisées ainsi qu’une (…). En Turquie, elle a été déjà prise en charge par un psychologue, qui lui a prescrit des médicaments (cf. p.-v. de C._______ du 28 août 2024, réponse à la question 13).</w:t>
      </w:r>
    </w:p>
    <w:p>
      <w:r>
        <w:rPr>
          <w:b/>
        </w:rPr>
        <w:t>E. 7.4.3</w:t>
      </w:r>
    </w:p>
    <w:p>
      <w:r>
        <w:t>Cela dit, sans minimiser les problèmes de santé des recourantes, ceux-ci ont déjà été diagnostiqués et traités en Turquie. Ainsi, en cas de besoin ou d’une éventuelle récidive, les intéressées pourront à nouveau bénéficier des structures médicales existant dans ce pays. En conséquence, les problèmes de santé invoqués ne sauraient justifier</w:t>
      </w:r>
    </w:p>
    <w:p>
      <w:r>
        <w:t>D-7669/2025 Page 11 l’inexigibilité de l’exécution du renvoi. Dans ces conditions, aucun élément versé au dossier ne permet de conclure qu’ils pourraient entraîner en cas de retour, une dégradation certaine et significative de leur état de santé, de nature à mettre concrètement leur vie en danger ou à porter une atteinte grave, durable et notable à leur intégrité physique, comme l’exige la jurisprudence topique. Du reste, les intéressées n’ont aucunement soutenu dans leur recours qu’elles ne pourraient pas avoir accès aux soins éventuellement nécessités par leur état en cas de retour.</w:t>
      </w:r>
    </w:p>
    <w:p>
      <w:r>
        <w:rPr>
          <w:b/>
        </w:rPr>
        <w:t>E. 7.4.4</w:t>
      </w:r>
    </w:p>
    <w:p>
      <w:r>
        <w:t>Enfin, les intéressées pourront se constituer, en cas de besoin, une réserve de médicaments avant leur départ de Suisse et présenter au SEM, à l'issue de la présente procédure, une demande d'aide au retour au sens de l'art. 93 LAsi et, en particulier, une aide financière individuelle pouvant couvrir les frais du traitement médical pour un laps de temps convenable.</w:t>
      </w:r>
    </w:p>
    <w:p>
      <w:r>
        <w:rPr>
          <w:b/>
        </w:rPr>
        <w:t>E. 7.4.5</w:t>
      </w:r>
    </w:p>
    <w:p>
      <w:r>
        <w:t>Par ailleurs,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Ainsi, dans l'éventualité où un risque suicidaire réel devait se faire jour suite au présent prononcé, les autorités devraient y remédier au moyen de mesures adéquates, de façon à exclure un danger concret de dommages à la santé (cf. arrêt du Tribunal D-743/2024 du 30 avril 2024 consid. 8.3 et réf. cit.).</w:t>
      </w:r>
    </w:p>
    <w:p>
      <w:r>
        <w:rPr>
          <w:b/>
        </w:rPr>
        <w:t>E. 7.4.6</w:t>
      </w:r>
    </w:p>
    <w:p>
      <w:r>
        <w:t>Par conséquent, l’état de santé des recourantes ne constitue pas un obstacle insurmontable de nature à rendre l’exécution du renvoi inexigible, pour des motifs médicaux, au sens de l’art. 83 al. 4 LEI.</w:t>
      </w:r>
    </w:p>
    <w:p>
      <w:r>
        <w:rPr>
          <w:b/>
        </w:rPr>
        <w:t>E. 7.5</w:t>
      </w:r>
    </w:p>
    <w:p>
      <w:r>
        <w:t>Il convient encore d’examiner, au regard des circonstances du cas d’espèce, si l’exécution du renvoi de C._______, encore mineure, s’avère contraire à l’intérêt supérieur de l’enfant tel que protégé par l’art. 3 de la Convention de l’ONU du 20 novembre 1989 relative aux droits de l’enfant (CDE ; RS 0.107).</w:t>
      </w:r>
    </w:p>
    <w:p>
      <w:r>
        <w:rPr>
          <w:b/>
        </w:rPr>
        <w:t>E. 7.5.1</w:t>
      </w:r>
    </w:p>
    <w:p>
      <w:r>
        <w:t>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w:t>
      </w:r>
    </w:p>
    <w:p>
      <w:r>
        <w:t>D-7669/2025 Page 12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 leur environnement familier. Ainsi, une forte assimilation en Suisse peut avoir comme conséquence un déracinement dans le pays d’origine de nature, selon les circonstances, à rendre inexigible le renvoi (cf. ATAF 2009/51 précité consid. 5.6 ; 2009/28 consid. 9.3.2 ainsi que réf. cit.). Compte tenu en particulier de la brièveté de son séjour en Suisse, soit seize mois, aucun élément au dossier ne permet de retenir qu’un retour en Turquie entraînerait pour C._______ un déracinement d’une intensité telle qu’il compromettrait son développement. En outre, son intérêt supérieur, conformément à l’art. 3 CDE, implique également de maintenir un cadre stable et protecteur. Le retour en Turquie – où elle a vécu l’essentiel de sa vie et a déjà exercé une activité lucrative – avec sa mère lui garantit la continuité des liens sociaux et familiaux, tout en lui offrant la possibilité de poursuivre son développement personnel dans un environnement culturel et linguistique familier. En outre, rien ne laisse supposer que ce retour serait de nature à compromettre gravement son équilibre psychologique ou social.</w:t>
      </w:r>
    </w:p>
    <w:p>
      <w:r>
        <w:rPr>
          <w:b/>
        </w:rPr>
        <w:t>E. 7.6</w:t>
      </w:r>
    </w:p>
    <w:p>
      <w:r>
        <w:t>Sur le vu de ce qui précède, il convient de reconnaître le caractère raisonnablement exigible de l’exécution du renvoi des recourantes en Turquie.</w:t>
      </w:r>
    </w:p>
    <w:p>
      <w:r>
        <w:rPr>
          <w:b/>
        </w:rPr>
        <w:t>E. 8</w:t>
      </w:r>
    </w:p>
    <w:p>
      <w:r>
        <w:t>Enfin, les intéressées sont en mesure d'entreprendre toute démarche nécessaire auprès de la représentation de leur pays d'origine en vue de l'obtention de documents de voyage leur permettant de quitter la Suisse (art. 8 al. 4 LAsi). L'exécution de leur renvoi ne se heurte donc pas à des obstacles insurmontables d'ordre technique et s'avère également possible au sens de l’art. 83 al. 2 LEI a contrario (cf. ATAF 2008/34 consid. 12).</w:t>
      </w:r>
    </w:p>
    <w:p>
      <w:r>
        <w:t>D-7669/2025 Page 13</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S’avérant manifestement infondé, le recours est rejeté dans une procédure à juge unique, avec l’approbation d’une seconde juge (art. 111 let. e LAsi), sans échange d’écritures (art. 111a al. 1 LAsi).</w:t>
      </w:r>
    </w:p>
    <w:p>
      <w:r>
        <w:rPr>
          <w:b/>
        </w:rPr>
        <w:t>E. 10.2</w:t>
      </w:r>
    </w:p>
    <w:p>
      <w:r>
        <w:t>Dès lors que les conclusions du recours étaient d'emblée vouées à l'échec, la demande d'assistance judiciaire totale doit être rejetée, l'une des conditions cumulatives à son octroi n'étant pas remplie (art. 65 al. 1 PA en lien avec l’art. 102m al. 1 LAsi). Cela étant, il y a lieu de mettre les frais de procédure à la charge des recourantes conformément aux art. 63 al. 1 PA ainsi que 1 et 3 du règlement du 21 février 2008 concernant les frais, dépens et indemnités fixés par le Tribunal administratif fédéral (FITAF, RS 173.320.2).</w:t>
      </w:r>
    </w:p>
    <w:p>
      <w:r>
        <w:t>(dispositif page suivante)</w:t>
      </w:r>
    </w:p>
    <w:p>
      <w:r>
        <w:t>D-7669/2025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