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D-7669/2010 vom 2. Februar 2012</w:t>
      </w:r>
    </w:p>
    <w:p>
      <w:r>
        <w:t>Bundesverwaltungsgericht, 2012-02-02, DE</w:t>
      </w:r>
    </w:p>
    <w:p>
      <w:r>
        <w:rPr>
          <w:b/>
        </w:rPr>
        <w:t xml:space="preserve">Quelle: </w:t>
      </w:r>
      <w:r>
        <w:t>https://mcp.opencaselaw.ch/entscheid/bvger_D-7669_2010</w:t>
      </w:r>
    </w:p>
    <w:p>
      <w:r>
        <w:t>FR: TAF D-7669/2010 du 2 février 2012</w:t>
      </w:r>
    </w:p>
    <w:p>
      <w:r>
        <w:t>IT: TAF D-7669/2010 del 2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Ein Asylgesuch kann gemäss Art. 19 AsylG im Ausland bei einer schweizerischen Vertretung gestellt werden, die es mit einem Bericht an das Bundesamt überweist (Art. 20 Abs. 1 AsylG).</w:t>
      </w:r>
    </w:p>
    <w:p>
      <w:r>
        <w:rPr>
          <w:b/>
        </w:rPr>
        <w:t>E. 4.2</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der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 ff.).</w:t>
      </w:r>
    </w:p>
    <w:p>
      <w:r>
        <w:rPr>
          <w:b/>
        </w:rPr>
        <w:t>E. 4.3</w:t>
      </w:r>
    </w:p>
    <w:p>
      <w:r>
        <w:t>Vorliegend ging das BFM davon aus, der Sachverhalt sei aufgrund der schriftlichen Eingaben entscheidreif erstellt. Diese Sichtweise ist vertretbar, sind doch die Eingaben vom 24. April 2008 (schriftliches Asylgesuch), vom 12. Mai 2008, 14. Juli 2008, 10. November 2008 und 12. Januar 2009 (Ergänzungen zum schriftlichen Asylgesuch) sowie vom 5. Juli 2010 (Stellungnahme anlässlich der Gewährung des rechtlichen Gehörs) insgesamt detailliert und klar formuliert. Unter diesen Umständen erübrigte sich für die Vorinstanz die Aufbietung des Beschwerdeführers zu einer Befragung. Da den vom Bundesverwaltungsgericht ferner aufgeführten Erfordernissen (Gewährung des rechtlichen Gehörs, Begründung des Verzichts auf die Befragung) ebenfalls Rechnung getragen wurde, ist die Vorgehensweise des BFM nicht zu beanstanden.</w:t>
      </w:r>
    </w:p>
    <w:p>
      <w:r>
        <w:rPr>
          <w:b/>
        </w:rPr>
        <w:t>E. 5</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w:t>
      </w:r>
    </w:p>
    <w:p>
      <w:r>
        <w:rPr>
          <w:b/>
        </w:rPr>
        <w:t>E. 6.1</w:t>
      </w:r>
    </w:p>
    <w:p>
      <w:r>
        <w:t>Im Folgenden ist zu prüfen, ob das BFM zu Recht eine unmittelbare Gefahr im Sinne von Art. 20 AsylG verneinte und die Einreise des Beschwerdeführers in die Schweiz verweigerte.</w:t>
      </w:r>
    </w:p>
    <w:p>
      <w:r>
        <w:rPr>
          <w:b/>
        </w:rPr>
        <w:t>E. 6.2</w:t>
      </w:r>
    </w:p>
    <w:p>
      <w:r>
        <w:t>Vorab ist auf die ausführliche Lageanalyse des Bundesverwaltungsgerichts im kürzlich ergangenen, zur Publikation vorgesehenen Urteil BVGE E-6220/2006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überdies Personen, welche über beträchtliche finanzielle Mittel verfügten, eine weitere Risikogruppe (vgl. a.a.O. E. 8).</w:t>
      </w:r>
    </w:p>
    <w:p>
      <w:r>
        <w:rPr>
          <w:b/>
        </w:rPr>
        <w:t>E. 6.3.1</w:t>
      </w:r>
    </w:p>
    <w:p>
      <w:r>
        <w:t>Der Beschwerdeführer machte in seinem Asylgesuch vom 24. April 2008 sowie seinen übrigen Eingaben geltend, in den Jahren 2007 beziehungsweise 2008 sei er zweimal von den sri-lankischen Behörden verhaftet und während rund vier Monaten respektive zwei Wochen inhaftiert worden. Aufgrund seiner Inhaftierungen suchten die sri-lankischen Sicherheitskräfte immer wieder nach ihm. Er sei nach wie vor bedroht, jederzeit von den sri-lankischen Sicherheitskräften verhaftet oder entführt zu werden.</w:t>
      </w:r>
    </w:p>
    <w:p>
      <w:r>
        <w:rPr>
          <w:b/>
        </w:rPr>
        <w:t>E. 6.3.2</w:t>
      </w:r>
    </w:p>
    <w:p>
      <w:r>
        <w:t>Einleitend ist darauf hinzuweisen, dass das schweizerische Asylrecht nicht dem Ausgleich erlittenen Unrechts dient. Insofern vermögen die Haft und die in diesem Zusammenhang erlittenen psychischen und physischen Beeinträchtigungen, von denen der Beschwerdeführer betroffen war, heute eine Asylgewährung beziehungsweise eine Einreisebewilligung in die Schweiz nicht zu begründen. Im aktuellen Zeitraum können diese Ereignisse mithin nicht mehr als kausal für die beantragte Einreise in die Schweiz und die Asylgewährung angesehen werden, zumal die Situation im Zeitpunkt des Asylentscheides im Rahmen der Prüfung nach der Aktualität der Verfolgungsfurcht wesentlich ist. Im Weiteren ist vorliegend mit der Vorinstanz festzustellen, dass der Beschwerdeführer mit überwiegender Wahrscheinlichkeit in absehbarer Zukunft keine ernsthaften Nachteile durch Verfolgungsmassnahmen der sri-lankischen Sicherheitskräfte zu befürchten hat. Insgesamt weist der Beschwerdeführer trotz der zwei geltend gemachten Inhaftierungen in den Jahren 2007 und 2008 sowie den Behelligungen durch die sri-lankischen Sicherheitskräfte kein besonderes Risikoprofil auf, das ihn aktuell aus objektiver Sicht als gefährdet erscheinen liesse. Die Inhaftierungen und die Behelligungen durch die sri-lankischen Sicherheitskräfte sind - vor allem mit Blick auf die damalige Bürgerkriegssituation - vor dem Hintergrund der Bekämpfung der LTTE zu sehen. Seit dem Ende des Bürgerkriegs hat sich die Lage in Sri Lanka allerdings erheblich verbessert. Zwar gehören Personen, die einer Verbindung zu den LTTE verdächtigt werden, gemäss Praxis des Bundesverwaltungsgerichts auch heute potentiell noch zu einer Risikogruppe (vgl. BVGE E-6220/2006 vom 27. Oktober 2011 E. 8.1 S. 25). Indes sind den Akten kein Bezug des Beschwerdeführers zu den LTTE zu entnehmen. Da der Beschwerdeführer zudem am 7. März 2008 sowie am 1. Juli 2008 von einem Gericht ohne Auflagen freigesprochen wurde, ist davon auszugehen, dass seitens der sri-lankischen Sicherheitskräfte nichts gegen ihn vorliegt. Er verfügt folglich über kein besonderes Profil, welches eine Gefährdung im Sinne von Art. 3 AsylG als wahrscheinlich erscheinen lässt. Der Beschwerdeführer macht zwar geltend, die sri-lankischen Sicherheitskräfte würden auch nach seiner Freilassung aus der Haft nach ihm suchen. Der Umstand, dass die geltend gemachten Inhaftierungen in den Jahren 2007 beziehungsweise 2008 zum heutigen Zeitpunkt über dreieinhalb Jahre zurückliegen und die sri-lankischen Sicherheitskräfte seither offenbar nie ernsthaft versucht haben, den Beschwerdeführer zu ergreifen, was ihnen zweifellos ohne weiteres möglich wäre, weist auf ein mangelndes Verfolgungsinteresse der sri-lankischen Sicherheitskräfte hin.</w:t>
      </w:r>
    </w:p>
    <w:p>
      <w:r>
        <w:rPr>
          <w:b/>
        </w:rPr>
        <w:t>E. 7</w:t>
      </w:r>
    </w:p>
    <w:p>
      <w:r>
        <w:t>Zusammenfassend ist festzustellen, dass der Beschwerdeführer nicht schutzbedürftig im Sinne von Art. 3 AsylG ist. Aufgrund der vorstehenden Erwägungen erübrigt es sich, auf die weiteren Ausführungen in den Eingaben und die eingereichten Beweismittel einzugehen, da sie am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