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D-7662/2016 vom 23. März 2017</w:t>
      </w:r>
    </w:p>
    <w:p>
      <w:r>
        <w:t>Bundesverwaltungsgericht, 2017-03-23, DE</w:t>
      </w:r>
    </w:p>
    <w:p>
      <w:r>
        <w:rPr>
          <w:b/>
        </w:rPr>
        <w:t xml:space="preserve">Quelle: </w:t>
      </w:r>
      <w:r>
        <w:t>https://mcp.opencaselaw.ch/entscheid/bvger_D-7662_2016</w:t>
      </w:r>
    </w:p>
    <w:p>
      <w:r>
        <w:t>FR: TAF D-7662/2016 du 23 mars 2017</w:t>
      </w:r>
    </w:p>
    <w:p>
      <w:r>
        <w:t>IT: TAF D-7662/2016 del 23 marzo 2017</w:t>
      </w:r>
    </w:p>
    <w:p>
      <w:pPr>
        <w:pStyle w:val="Heading2"/>
      </w:pPr>
      <w:r>
        <w:t>Regeste</w:t>
      </w:r>
    </w:p>
    <w:p>
      <w:r>
        <w:t>Aberkennung der Flüchtlingseigenschaft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vom 8. Dezember 2016 enthält in Bezug auf die Ablehnung des Asylgesuches keinen Antrag und auch in der Begründung finden sich diesbezüglich keine Einwendungen. Der Prozessgegenstand beschränkt sich im vorliegenden Verfahren auf die Frage, ob die Beschwerdeführerin aufgrund subjektiver Nachfluchtgründe im Sinne von Art. 54 AsylG infolge illegaler Ausreise die Flüchtlingseigenschaft erfüllt. Demgegenüber ist die Abweisung des Asylgesuchs unangefochten in Rechtskraft erwachsen.</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sein (Art. 3 Abs. 3 AsylG). Vorbehalten bleibt das Abkommen über die Rechtstellung von Flüchtlingen (Flüchtlingskonvention).</w:t>
      </w:r>
    </w:p>
    <w:p>
      <w:r>
        <w:rPr>
          <w:b/>
        </w:rPr>
        <w:t>E. 3.2</w:t>
      </w:r>
    </w:p>
    <w:p>
      <w:r>
        <w:t>Nachteile im Sinne von Art. 3 AsylG können auch aus einer Reflexverfolgung (sog. Sippenhaft) entstehen, bei welcher sich Verfolgungsmassnahmen abgesehen von der primär betroffenen Person auch auf Familienangehörige und Verwandte erstrecken (zum Begriff der Reflexverfolgung BVGE 2007/19 E. 3.3 S. 225, unter Hinweis auf EMARK 1994 Nr. 5 E. 3h, 1994 Nr. 17).</w:t>
      </w:r>
    </w:p>
    <w:p>
      <w:r>
        <w:rPr>
          <w:b/>
        </w:rPr>
        <w:t>E. 3.3</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3.4</w:t>
      </w:r>
    </w:p>
    <w:p>
      <w:r>
        <w:t>Wer um Asyl nachsucht, muss gemäss Art. 7 AsylG die Flüchtlingseigenschaft nachweisen oder zumindest glaubhaft machen (Abs. 1). Beim Geltendmachen von Wegweisungsvollzugshindernissen gilt gemäss Praxis des Bundesverwaltungsgerichts der gleiche Beweisstandard wie bei der Prüfung der Flüchtlingseigenschaft (vgl. BVGE 2011/24 E. 10.2 m.w.H.).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4.1</w:t>
      </w:r>
    </w:p>
    <w:p>
      <w:r>
        <w:t>Das SEM führte zur Begründung seiner ablehnenden Verfügung im Zusammenhang mit der geltend gemachten illegalen Ausreise aus, es sei zu prüfen, ob konkrete Indizien vorlägen, die auf eine Verfolgung im Heimatstaat hindeuteten. Hierzu sei zusammengefasst festzuhalten, dass die Behandlung von Rückkehrenden durch die eritreischen Behörden hauptsächlich davon abhängig sei, ob die Rückkehr nach Eritrea freiwillig oder unter Zwang erfolgt sei, welchen Nationaldienst-Status die Rückkehrenden vor ihrer Ausreise gehabt hätten und ob sie eine sogenannte Diasporasteuer bezahlen sowie ein Reueformular unterschreiben würden. Davon befreit seien unter anderem Personen, die das wehrdienstpflichtige Alter noch nicht erreicht hätten. Aufgrund der verfügbaren Informationen müsse davon ausgegangen werden, dass der Nationaldienst-Status das wichtigste Kriterium für den Umgang der eritreischen Behörden mit zwangsweisen Rückkehrern darstelle und die illegale Ausreise dabei nur eine untergeordnete Rolle spiele. Zur Beurteilung, ob die Beschwerdeführerin begründete Furcht vor zukünftiger Verfolgung habe, sei darauf hinzuweisen, dass sie gemäss der vorinstanzlichen Akten weder den Nationaldienst verweigert habe noch aus diesem desertiert sei. Sie habe demnach nicht gegen die Proclamation on National Service aus dem Jahr 1995 verstossen und den Akten lägen keine Hinweise vor, wonach bei einer Rückkehr in ihren Heimatstaat begründete Furcht vor Verfolgung bestünde. Ihre Vorbringen hielten den Anforderungen an die Flüchtlingseigenschaft gemäss Art. 3 AsylG folglich nicht stand.</w:t>
      </w:r>
    </w:p>
    <w:p>
      <w:r>
        <w:rPr>
          <w:b/>
        </w:rPr>
        <w:t>E. 4.2</w:t>
      </w:r>
    </w:p>
    <w:p>
      <w:r>
        <w:t>Zur Begründung ihrer Beschwerdeanträge stützt sich die Beschwerdeführerin im Wesentlichen auf eine heute nicht mehr gültige, mit Urteil D-7898/2015 vom 30. Januar 2017 revidierte Rechtsprechung des Bundesverwaltungsgerichts, wonach die illegale Ausreise - die Glaubhaftigkeit derselben vorausgesetzt - zur Begründung der Flüchtlingseigenschaft führe (vgl. Urteil des BVGer D-3892/2008 vom 6. April 2010, E. 5.3.3 und nachfolgend). Auf eine detaillierte Wiedergabe der Ausführungen in der Beschwerdebegründung kann aufgrund der Praxisänderung verzichtet und auf die Eingabe vom 8. Dezember 2016 verwiesen werden.</w:t>
      </w:r>
    </w:p>
    <w:p>
      <w:r>
        <w:rPr>
          <w:b/>
        </w:rPr>
        <w:t>E. 5.1</w:t>
      </w:r>
    </w:p>
    <w:p>
      <w:r>
        <w:t>Nachfolgend ist zu prüfen, ob das SEM die Flüchtlingseigenschaft der Beschwerdeführerin zu Recht verneint hat.</w:t>
      </w:r>
    </w:p>
    <w:p>
      <w:r>
        <w:rPr>
          <w:b/>
        </w:rPr>
        <w:t>E. 5.2</w:t>
      </w:r>
    </w:p>
    <w:p>
      <w:r>
        <w:t>Das Bundesverwaltungsgericht befasste sich in seinem als Referenzurteil publizierten Urteil D-7898/2015 vom 30. Januar 2017 mit der Frage, ob Eritreer und Eritreerinnen, die ihr Land illegal verlassen haben, bei einer Rückkehr Verfolgung zu befürchten hätten. Bisher ging das Bundesverwaltungsgericht in gefestigter Rechtsprechung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Urteil des Bundesverwaltungsgerichts D-3892/2008 vom 6. April 2010 E. 5.3.2).</w:t>
      </w:r>
    </w:p>
    <w:p>
      <w:r>
        <w:rPr>
          <w:b/>
        </w:rPr>
        <w:t>E. 5.3</w:t>
      </w:r>
    </w:p>
    <w:p>
      <w:r>
        <w:t>Im Referenzurteil D-7898/2015 analysierte das Gericht erneut die Lage in Eritrea betreffend die Möglichkeit der Ausreise und die möglichen Konsequenzen einer nachweislich illegalen Ausreise (vgl. ebenda, E. 4.8 - 4.10). Unter Berufung auf die Berichte verschiedener Organisationen und in Würdigung der Erkenntnisse aus verschiedenen Fact-Finding-Missionen in Eritrea, erachtete das Gericht genügend Hinweise für verdichtet, wonach sich die Situation von Personen, welche beim Versuch einer illegalen Ausreise gefasst worden seien, von derjenigen von Personen unterscheide, die nach einer illegalen Ausreise in die Heimat zurückkehrten.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ebenda,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ebenda,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5.4</w:t>
      </w:r>
    </w:p>
    <w:p>
      <w:r>
        <w:t>Derartige zusätzliche Faktoren sind im Falle der Beschwerdeführerin nicht ersichtlich. Sie verliess Eritrea im Alter von fünfzehn Jahren und damit vor Erlangung des wehrdienstpflichtigen Alters. Ferner ergeben sich aus den Akten keine Hinweise, wonach sie mit den heimatlichen Behörden betreffend den Einzug in den Nationaldienst Kontakt gehabt hätte. Anderweitige Probleme mit den heimatlichen Behörden verneinten sie ebenfalls (vgl. A7, S. 7). Weitere Anknüpfungspunkte, welche die Beschwerdeführerin in den Augen des eritreischen Regimes als missliebige Person erscheinen lassen könnten, sind nicht ersichtlich. Die Beschwerdeführerin erfüllt die Flüchtlingseigenschaft nicht.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Die von der Vorinstanz wegen Unzumutbarkeit des Vollzugs verfügte vor-läufige Aufnahme bleibt davon jedoch unberührt.</w:t>
      </w:r>
    </w:p>
    <w:p>
      <w:r>
        <w:rPr>
          <w:b/>
        </w:rPr>
        <w:t>E. 8.1</w:t>
      </w:r>
    </w:p>
    <w:p>
      <w:r>
        <w:t>Bei diesem Ausgang des Verfahrens wären die Kosten der Beschwerdeführerin aufzuerlegen (Art. 63 Abs. 1 VwVG). Allerdings wurde ihr die unentgeltliche Prozessführung gemäss Art. 65 Abs. 1 VwVG bewilligt, weshalb keine Kosten erhoben werden.</w:t>
      </w:r>
    </w:p>
    <w:p>
      <w:r>
        <w:rPr>
          <w:b/>
        </w:rPr>
        <w:t>E. 8.2</w:t>
      </w:r>
    </w:p>
    <w:p>
      <w:r>
        <w:t>Nachdem der Beschwerdeführerin die unentgeltliche Rechtsverbeiständung gewährt und Frau MLaw Livia Kunz als amtliche Vertreterin eingesetzt wurde, ist ihr zu Lasten des Gerichts eine Entschädigung zu einem allenfalls reduzierten Stundenansatz zuzusprechen (vgl. Art. 12 i.V.m. Art. 10 Abs. 2 VGKE). Die Rechtsvertreterin reichte am 8. Dezember 2016 eine Kostennote betreffend den Aufwand für das Beschwerdeverfahren ein. Der darin ausgewiesene Gesamtaufwand beläuft sich auf Fr. 1022.- (5 Stunden à Fr. 180.- zzgl. Auslagen im Umfang von Fr. 50.- und Mehrwertsteuer im Umfang von Fr. 72.-). Dieser Aufwand erscheint in zeitlicher Hinsicht angemessen, allerdings ist der Stundenansatz auf Fr. 150.- zu kürzen. Das amtliche Honorar ist auf insgesamt Fr. 860.- (5 Stunden à Fr. 150.- zzgl. Auslagen und Mehrwertsteuerzuschlag) festzusetzen und der Rechtsvertreterin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