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D-7650/2009 vom 18. September 2012</w:t>
      </w:r>
    </w:p>
    <w:p>
      <w:r>
        <w:t>Bundesverwaltungsgericht, 2012-09-18, DE</w:t>
      </w:r>
    </w:p>
    <w:p>
      <w:r>
        <w:rPr>
          <w:b/>
        </w:rPr>
        <w:t xml:space="preserve">Quelle: </w:t>
      </w:r>
      <w:r>
        <w:t>https://mcp.opencaselaw.ch/entscheid/bvger_D-7650_2009</w:t>
      </w:r>
    </w:p>
    <w:p>
      <w:r>
        <w:t>FR: TAF D-7650/2009 du 18 septembre 2012</w:t>
      </w:r>
    </w:p>
    <w:p>
      <w:r>
        <w:t>IT: TAF D-7650/2009 del 18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begründet sein zweites Asylgesuch aus­schliess­lich mit exilpolitischen Aktivitäten. 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(vgl. dazu BVGE 2009/28 E. 7.1 S. 352).</w:t>
      </w:r>
    </w:p>
    <w:p>
      <w:r>
        <w:rPr>
          <w:b/>
        </w:rPr>
        <w:t>E. 5</w:t>
      </w:r>
    </w:p>
    <w:p>
      <w:r>
        <w:t>Es ist zunächst festzuhalten, dass der Beschwerdeführer im ersten Asylver­fahren keine asylrelevanten Vorfluchtgründe glaubhaft machen konnte. Allerdings wurde die Haft im Jahre 2003 sowie ein gewisses Enga­gement für sozialkritische Anliegen verbunden mit der Teilnahme an entsprechenden Anlässen nicht per se für unglaubhaft erachtet. So sei er in der Lage gewesen, teilweise substanziierte, mit Realkennzeichen behaf­tete Angaben zu zwei Protestveranstaltungen zu machen. Entspre­chend könne durchaus davon ausgegangen werden, dass er zumindest im Umfeld sol­cher Manifestationen in Erscheinung getreten sei. Beizupflich­ten sei ihm auch insofern, als namentlich nach den verbreite­ten Studentenunruhen in G._______ an sich friedliche, primär gegen schlechte Anstellungsbedingungen gerichtete Kundgebungen von Leh­rern in Anbetracht der generell repressiven Situation vor Ort durch die Be­hörden als genuin regimefeindlich empfunden worden seien und würden. Bei der Beurteilung der Verfolgungsgefahr wegen subjektiver Nachflucht­gründe kam das Gericht zum Schluss, es sei aufgrund seiner Vorbringen nicht davon auszu­gehen, dass er bereits vor der Ausreise die Aufmerksam­keit der irani­schen Behörden in relevantem Ausmass auf sich gezogen habe (vgl. zum Ganzen Bst. J. vorstehend).</w:t>
      </w:r>
    </w:p>
    <w:p>
      <w:r>
        <w:rPr>
          <w:b/>
        </w:rPr>
        <w:t>E. 6.1</w:t>
      </w:r>
    </w:p>
    <w:p>
      <w:r>
        <w:t>Betreffend Relevanz von subjektiven Nachfluchtgründen für eine allfäl­lige Verfolgung kann zum einen nach wie vor auf die Erwägungen un­ter Bst. J.b sowie auf BVGE 2009/28 E. 7. verwiesen werden. Die Men­schenrechtssituation im Iran ist seit längerer Zeit schlecht und es gibt keine Hinweise darauf, dass sich dies in nächster Zeit ändern wird (a.a.O. E. 7.3.1 S. 354 ff.). Diese Einschätzung wird durch ein kürzlich ergange­nes Urteil des Europäischen Gerichtshofs für Menschenrechte (EGMR) be­stätigt (Urteil I._______._______. und andere gegen J._______ vom 15. Mai 2012; Nr. 52077/10).</w:t>
      </w:r>
    </w:p>
    <w:p>
      <w:r>
        <w:rPr>
          <w:b/>
        </w:rPr>
        <w:t>E. 6.2</w:t>
      </w:r>
    </w:p>
    <w:p>
      <w:r>
        <w:t>Mit Urteil vom 16. Februar 2009 verneinte das Bundesverwaltungsge­richt beim Beschwerdeführer eine Gefährdung wegen subjektiver Nach­fluchtgründe. Das Dossier des Beschwerdeführers zu seinen politischen Ak­tivi­täten in der Schweiz könne insofern mit denjenigen einer Vielzahl sei­ner Landsleute in Über­ein­stimmung gebracht werden, als sich seine politi­sche Tätig­keit kaum von den üblichen Aktivitäten ande­rer Iraner ab­hebe. Im aktuellen Zeitpunkt und mithin dreieinhalb Jahre später ist an sich keine entscheidende Schärfung seines politischen Profils erkennbar. So hatte er bei der Anhörung vom 29. Oktober 2009 - wenn auch möglicher­weise etwas missverständlich - ausgesagt, eine gewisse Funktion inner­halb der DVF nicht mehr beziehungsweise nicht mehr als eigentlicher Funk­tionär auszuüben (B 7/12 Antworten 21 ff. 36 und 69). Andererseits legte er dar, (...) 2009 im Netz zwei (weitere) Internetarti­kel veröffentlich zu haben. Gemäss den eingereichten Belegexemplaren ge­schah dies unter Angabe seines Namens samt Foto. Insbesondere wurde anlässlich einer Protestveranstaltung im (...) 2009 ein Bild von ihm erstellt, welches in der Folge (...) gut einsehbar war. Die Erwä­gung im angefochtenen Entscheid zu den "schulfotomässigen Gruppenauf­nahmen" trifft auf den Beschwerdeführer damit nicht zu. Auf den publizierten Bildern ist der Beschwerdeführer leicht zu erkennen, und angesichts der Prominenz dieser Publikationen dürfte dies das Interesse des iranischen Regimes geweckt haben. Auch ohne eigentliche Veränderung des politischen Profils fällt des Weiteren ins Gewicht, dass er sich seit bald sieben Jahren in der Schweiz aufhält und sich an unzähligen regimefeindlichen Kundgebungen verbunden mit entsprechenden Bildern im Internet beteiligt hat. Dass sein Vater seinetwegen im Iran behördlich kontaktiert wurde, erscheint - so auch im Lichte der im zitierten EGMR-Urteil hervorgehobenen Internet-Kon­trolle der iranischen Behörden - als keineswegs ausgeschlossen. Insge­samt weist er nunmehr ein politisches Profil auf, welches den Arg­wohn der iranischen Sicherheitskräfte im Sinne einer Identifizierung und Fichierung als zwar nicht hochkarätigen, aber durchaus ernst zu nehmen­den Regimegegner erweckt haben dürfte. Er vermittelt demnach insge­samt das Bild einer kommunikationsprofilierten Person mit klar defi­nier­ten Vorstellun­gen und einem Agitationspotential, welches in den Augen des irani­schen Regimes durchaus als gefährlich und systemuntergrabend auf­gefasst werden kann. Aus dem Gesagten ergibt sich vor dem Hinter­grund der greifbaren In­formationen zur Menschenrechtslage im Iran, dass der Be­schwerde­führer be­rech­tigterweise befürchten muss, bei einer Rück­kehr ins Heimatland als Folge seiner Exilaktivitäten straf­rechtlich belangt, dabei in Haft genommen und einer flüchtlingsrecht­lich relevanten Ge­fähr­dung des Leibes, des Lebens und der Freiheit ausgesetzt zu wer­den. Da­mit erfüllt der Beschwerdeführer sämtliche ku­mu­lativ erfor­derlichen Krite­rien der Flüchtlingseigenschaft im Sinne der Defini­tion von Art. 3 AsylG.</w:t>
      </w:r>
    </w:p>
    <w:p>
      <w:r>
        <w:rPr>
          <w:b/>
        </w:rPr>
        <w:t>E. 7</w:t>
      </w:r>
    </w:p>
    <w:p>
      <w:r>
        <w:t>Zusammenfassend ist unter diesen Umständen festzustellen, dass es dem Beschwerdeführer gelungen ist, das Bestehen subjekti­ver Nachflucht­gründe im Sinne von Art. 54 AsylG überwiegend glaub­haft zu ma­chen, und er damit die Voraussetzungen für die Zuerken­nung der Flücht­lingseigenschaft erfüllt. Im Weiteren bestehen gemäss Aktenlage keine Ausschlussgründe im Sinne von Art. 1 F des Abkommens vom 28. Juli 1951 über die Rechtsstellung der Flüchtlinge (FK, SR 0.142.30). Im Sinne von Art. 54 AsylG ist er jedoch vom Asyl auszuschliessen.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mittlerweile über eine Aufenthaltsbe­willigung B. Die mit der angefochtenen Verfügung angeordnete Wegweisung ist damit hinfäl­lig.</w:t>
      </w:r>
    </w:p>
    <w:p>
      <w:r>
        <w:rPr>
          <w:b/>
        </w:rPr>
        <w:t>E. 9</w:t>
      </w:r>
    </w:p>
    <w:p>
      <w:r>
        <w:t>Die Beschwerde ist betreffend der beantragten Feststellung der Flücht-ling­seigenschaft demnach gutzuheissen und das BFM anzu­weisen, den Be­schwerdeführer als Flüchtling anzuerkennen.</w:t>
      </w:r>
    </w:p>
    <w:p>
      <w:r>
        <w:rPr>
          <w:b/>
        </w:rPr>
        <w:t>E. 10</w:t>
      </w:r>
    </w:p>
    <w:p>
      <w:r>
        <w:t>Diesen Erwägungen gemäss hat die Vorinstanz zu Unrecht Gebühren für das vorinstanzliche Verfahren erhoben, weshalb die angefochtene Verfügung auch diesbezüglich aufzuheben ist (vgl. Art. 17b AsylG). Sollte der Beschwerdeführer die erhobene Gebühr bereits beglichen haben, hat das BFM diese zurückzuerstatten.</w:t>
      </w:r>
    </w:p>
    <w:p>
      <w:r>
        <w:rPr>
          <w:b/>
        </w:rPr>
        <w:t>E. 11.1</w:t>
      </w:r>
    </w:p>
    <w:p>
      <w:r>
        <w:t>Bei diesem Ausgang des Verfahrens sind keine Kosten aufzuerle­gen.</w:t>
      </w:r>
    </w:p>
    <w:p>
      <w:r>
        <w:rPr>
          <w:b/>
        </w:rPr>
        <w:t>E. 11.2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2'800.-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