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D-764/2017 vom 16. Februar 2017</w:t>
      </w:r>
    </w:p>
    <w:p>
      <w:r>
        <w:t>Bundesverwaltungsgericht, 2017-02-16, FR</w:t>
      </w:r>
    </w:p>
    <w:p>
      <w:r>
        <w:rPr>
          <w:b/>
        </w:rPr>
        <w:t xml:space="preserve">Quelle: </w:t>
      </w:r>
      <w:r>
        <w:t>https://mcp.opencaselaw.ch/entscheid/bvger_D-764_2017</w:t>
      </w:r>
    </w:p>
    <w:p>
      <w:r>
        <w:t>FR: TAF D-764/2017 du 16 février 2017</w:t>
      </w:r>
    </w:p>
    <w:p>
      <w:r>
        <w:t>IT: TAF D-764/2017 del 16 febbraio 2017</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A._______ a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w:t>
      </w:r>
    </w:p>
    <w:p>
      <w:r>
        <w:rPr>
          <w:b/>
        </w:rPr>
        <w:t>E. 2.2</w:t>
      </w:r>
    </w:p>
    <w:p>
      <w:r>
        <w:t>Saisi d'un recours contre une décision de non-entrée en matière sur une demande d'asile, le Tribunal se limite à examiner le bien-fondé d'une telle décision (cf. ATAF 2014/39 consid. 2 et réf. cit.),</w:t>
      </w:r>
    </w:p>
    <w:p>
      <w:r>
        <w:rPr>
          <w:b/>
        </w:rPr>
        <w:t>E. 3</w:t>
      </w:r>
    </w:p>
    <w:p>
      <w:r>
        <w:t>Il est renoncé à un échange d'écritures (cf. art. 111a al. 1 LAsi).</w:t>
      </w:r>
    </w:p>
    <w:p>
      <w:r>
        <w:rPr>
          <w:b/>
        </w:rPr>
        <w:t>E. 4</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Aux termes de l'art. 3 par. 1 du règlement Dublin III, une demande de protection internationale est examinée par un seul Etat membre, celui-ci étant déterminé selon les critères fixés à son chapitre III. Dans une procédure de reprise en charge (anglais: take back), il n'y a en principe aucun nouvel examen de la compétence selon le chapitre III (ATAF 2012/4 consid. 3.2.1 et réf. cit.).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L'Etat responsable de l'examen d'une demande de protection internationale en vertu du règlement est tenu de reprendre en charge - dans les conditions prévues aux art. 21, 22 et 29 - le ressortissant de pays tiers ou l'apatride dont la demande a été rejetée et qui a présenté une demande auprès d'un autre Etat membre ou qui se trouve, sans titre de séjour, sur le territoire d'un autre Etat membre (art. 18 par. 1 pt. d du règlement Dublin III).</w:t>
      </w:r>
    </w:p>
    <w:p>
      <w:r>
        <w:rPr>
          <w:b/>
        </w:rPr>
        <w:t>E. 4.3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5.1</w:t>
      </w:r>
    </w:p>
    <w:p>
      <w:r>
        <w:t>En l'occurrence, les investigations entreprises par le SEM ont révélé, après consultation de l'unité centrale du système européen «Eurodac», que l'intéressé a déposé une demande d'asile en Lituanie le 23 septembre 2013. Le 5 décembre 2016, cet office a dès lors soumis aux autorités lituaniennes compétentes, dans les délais fixés aux art. 23 par. 2 et art. 24 par. 2 du règlement Dublin III, une requête aux fins de reprise en charge, fondée sur l'art. art. 18 par. 1 pt. d du règlement Dublin III. Les autorités lituaniennes ayant expressément accepté de reprendre en charge l'intéressé, le 16 décembre 2016, elles ont reconnu leur compétence pour traiter sa demande d'asile (cf. aussi la motivation à la p. 4 i. i. de la décision, relative au fait que l'intéressé, majeur, ne faisait pas partie des « membres de la famille » au sens de l'art. 2 pt. g du Règlement Dublin III). Ce point n'est du reste pas contesté dans le recours (cf. p. 3 ch. 5 s.).</w:t>
      </w:r>
    </w:p>
    <w:p>
      <w:r>
        <w:rPr>
          <w:b/>
        </w:rPr>
        <w:t>E. 5.2</w:t>
      </w:r>
    </w:p>
    <w:p>
      <w:r>
        <w:t>Il faut encore examiner si l'art. 16 du règlement Dublin III est applicable. Cette disposition, bien que placée au chapitre IV du règlement Dublin III, doit également être considérée comme un critère de détermination de l'Etat responsable (Filzwieser/Sprung, Dublin III-Verordnung, Vienne 2014, pt. 4 sur l'art. 16; cf. aussi les articles 7 par. 3 et 17 par. 2 du règlement Dublin III, qui comptent l'art. 16 du règlement Dublin III parmi les critères). Selon le par. 1 de cette disposition,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Il ne ressort pas du dossier que le recourant, dont les problèmes de santé ne nécessitent pas des soins, une présence et/ou une surveillance intensifs, qui a lui-même insisté sur la très longue durée de sa séparation d'avec sa mère et qui n'a résidé que sept jours chez elle à son arrivée en Suisse, est dans un tel lien de dépendance par rapport à celle-ci (cf. aussi la motivation détaillée à la p. 5 de la décision attaquée et l'état de fait ci-dessus).</w:t>
      </w:r>
    </w:p>
    <w:p>
      <w:r>
        <w:rPr>
          <w:b/>
        </w:rPr>
        <w:t>E. 6</w:t>
      </w:r>
    </w:p>
    <w:p>
      <w:r>
        <w:t>Il n'y a pas non plus de sérieuses raisons de croire qu'il existe, en Lituanie, des défaillances systémiques dans la procédure d'asile et les conditions d'accueil des demandeurs, qui entraînent un risque de traitement inhumain ou dégradant au sens de l'art. 4 de la CharteUE. La Lituanie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Dans ces conditions, l'application de l'art. 3 par. 2 du règlement Dublin III ne se justifie pas en l'espèce.</w:t>
      </w:r>
    </w:p>
    <w:p>
      <w:r>
        <w:rPr>
          <w:b/>
        </w:rPr>
        <w:t>E. 7</w:t>
      </w:r>
    </w:p>
    <w:p>
      <w:r>
        <w:t>Le recourant a sollicité l'application d'une des clauses discrétionnaires prévues à l'art. 17 du règlement Dublin III, à savoir celle retenue par le par. 1 de cette disposition (clause de souveraineté). Il a fait valoir dans son mémoire, pour l'essentiel, le fait que sa mère et le mari de celle-ci vivent en Suisse, ainsi que, dans une moindre mesure, ses problèmes médicaux. Comme la jurisprudence l'a retenu (cf. ATAF 2015/9 précité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aussi admettre cette responsabilité pour des raisons humanitaires au sens de l'art. 29a al. 3 de l'ordonnance 1 du 11 août 1999 sur l'asile (OA 1, RS 142.311).</w:t>
      </w:r>
    </w:p>
    <w:p>
      <w:r>
        <w:rPr>
          <w:b/>
        </w:rPr>
        <w:t>E. 7.1.1</w:t>
      </w:r>
    </w:p>
    <w:p>
      <w:r>
        <w:t>En l'occurrence, l'intéressé n'a fourni aucune argumentation ni moyen de preuve permettant d'admettre un risque de violation de l'art. 8 CEDH. La protection de la vie familiale au sens de l'art. 8 par 1 CEDH vise principalement les relations concernant la famille dite nucléaire, soit celles existant entre époux ainsi qu'entre parents et enfants mineurs vivant en ménage commun (ATAF 2012/4 précité consid. 4.3 s.; 2008/47 consid. 4.1; ATF 137 I 113 consid. 6.1; 135 I 143 consid. 1.3.2).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(cf. ATAF 2008/47 précité, ibid.; cf. aussi arrêt du TAF D-162/2017 du 24 janvier 2017 p. 9 et jurisp. cit.). Les rapports entre l'intéressé, majeur, et sa mère ne s'analysent pas en une vie familiale protégée par l'art. 8 par. 1 CEDH. En effet, l'existence d'éléments supplémentaires de dépendance, autres que les liens affectifs normaux avec elle, n'a nullement été établie (cf. aussi consid. 5.2 ci-avant).</w:t>
      </w:r>
    </w:p>
    <w:p>
      <w:r>
        <w:rPr>
          <w:b/>
        </w:rPr>
        <w:t>E. 7.1.2</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précité consid. 7.1). Il s'agit de cas très exceptionnels, en ce sens que la personne concernée doit connaître un état à ce point altéré que l'hypothèse de son rapide décès après le retour confine à la certitude. En l'espèce, l'intéressé n'a pas établi qu'il ne serait pas en mesure de voyager ou que son transfert représenterait un danger concret pour sa santé. En effet, ses problèmes de santé (hépatites A et B, respectivement SIDA), en règle générale à évolution lente, n'apparaissent pas dans un état d'avancement tel que son transfert en Lituanie serait illicite au sens restrictif de cette jurisprudence. En outre, ces affections pourront être traitées en Lituanie, ce pays disposant de structures médicales similaires à celles existant en Suisse.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Rien ne permet en l'occurrence d'admettre que la Lituanie refuserait ou renoncerait à une prise en charge médicale adéquate dans le cas du recourant. Il incombera aux autorités suisses chargées de l'exécution du transfert de transmettre aux autorités lituaniennes les renseignements permettant une telle prise en charge (cf. art. 31 et 32 du règlement Dublin III).</w:t>
      </w:r>
    </w:p>
    <w:p>
      <w:r>
        <w:rPr>
          <w:b/>
        </w:rPr>
        <w:t>E. 7.1.3</w:t>
      </w:r>
    </w:p>
    <w:p>
      <w:r>
        <w:t>A._______ n'a pas non plus démontré que ses conditions d'existence en Lituanie revêtiraient, en cas de transfert dans ce pays, un tel degré de pénibilité et de gravité qu'elles seraient constitutives d'un traitement contraire à l'art. 4 de la CharteUE, à l'art. 3 CEDH ou encore à l'art. 3 Conv. torture. Il n'a en particulier pas apporté d'indices objectifs, concrets et sérieux qu'il serait lui-même privé durablement de tout accès aux conditions matérielles minimales d'accueil prévues par la directive précitée.</w:t>
      </w:r>
    </w:p>
    <w:p>
      <w:r>
        <w:rPr>
          <w:b/>
        </w:rPr>
        <w:t>E. 7.1.4</w:t>
      </w:r>
    </w:p>
    <w:p>
      <w:r>
        <w:t>Enfin, l'intéressé n'a pas non plus démontré l'existence d'un risque concret que les autorités lituaniennes refuseraient de le reprendre en charge et de mener à terme l'examen de sa demande de protection, en violation de la directive Procédure. En outre, il n'a fourni aucun élément concret susceptible de démontrer que la Lituanie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7.1.5</w:t>
      </w:r>
    </w:p>
    <w:p>
      <w:r>
        <w:t>Au demeurant, si - après son retour en Lituanie - le requérant devait être contraint par les circonstances à mener une existence non conforme à la dignité humaine, ou s'il devait que ce pays viole ses obligations d'assistance à son encontre, ou de toute autre manière porte atteinte à ses droits fondamentaux, il lui appartiendra de faire valoir ses droits directement auprès des autorités lituaniennes, en usant des voies de droit adéquates.</w:t>
      </w:r>
    </w:p>
    <w:p>
      <w:r>
        <w:rPr>
          <w:b/>
        </w:rPr>
        <w:t>E. 7.2</w:t>
      </w:r>
    </w:p>
    <w:p>
      <w:r>
        <w:t>Il convient encore de se prononcer sur la possible application par le SEM de l'art. 29a al. 3 OA 1 (raisons humanitaires), en relation avec l'art. 17 par. 1 précité. Ce point, qui ressortit à l'opportunité, ne peut toutefois plus être examiné au fond par le Tribunal, depuis l'abrogation de l'art. 106 al. 1 let. c LAsi, entrée en vigueur le 1er février 2014.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Au vu du dossier et de la motivation très détaillée de sa décision,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w:t>
      </w:r>
    </w:p>
    <w:p>
      <w:r>
        <w:rPr>
          <w:b/>
        </w:rPr>
        <w:t>E. 8</w:t>
      </w:r>
    </w:p>
    <w:p>
      <w:r>
        <w:t>Dans ces conditions, c'est à bon droit que le SEM n'est pas entré en matière sur la demande d'asile, en application de l'art. 31a al. 1 let. b LAsi, et qu'il a prononcé son transfert de Suisse vers la Lituanie, en application de l'art. 44 LAsi, aucune exception à la règle générale du renvoi n'étant réalisée (art. 32 OA 1). En effet, l'intéressé, majeur, ne saurait invoquer un droit de séjour légal fondé sur la présence de sa mère en Suisse (cf. en particulier art. 42 par. 1 LEtr [RS 142.20] a contrario).</w:t>
      </w:r>
    </w:p>
    <w:p>
      <w:r>
        <w:rPr>
          <w:b/>
        </w:rPr>
        <w:t>E. 9</w:t>
      </w:r>
    </w:p>
    <w:p>
      <w:r>
        <w:t>Cela étant, les questions relatives à l'existence d'un empêchement à l'exécution du renvoi (ou transfert) pour des raisons tirées de l'art. 83 al. 2 à 4 LEtr ne se posent plus séparément, vu qu'elles sont indissociables du prononcé de la non-entrée en matière (ATAF 2015/18 consid. 5.2 et réf. cit.).</w:t>
      </w:r>
    </w:p>
    <w:p>
      <w:r>
        <w:rPr>
          <w:b/>
        </w:rPr>
        <w:t>E. 10</w:t>
      </w:r>
    </w:p>
    <w:p>
      <w:r>
        <w:t>Au vu de ce qui précède, le recours doit être rejeté. S'avérant manifestement infondé, il l'est dans une procédure à juge unique, avec l'approbation d'un second juge (art. 111 let. e LAsi).</w:t>
      </w:r>
    </w:p>
    <w:p>
      <w:r>
        <w:rPr>
          <w:b/>
        </w:rPr>
        <w:t>E. 11</w:t>
      </w:r>
    </w:p>
    <w:p>
      <w:r>
        <w:t>Dans la mesure où il a été statué sur le fond, la requête formulée dans le recours tendant à l'octroi de l'effet suspensif est sans objet.</w:t>
      </w:r>
    </w:p>
    <w:p>
      <w:r>
        <w:rPr>
          <w:b/>
        </w:rPr>
        <w:t>E. 12.1</w:t>
      </w:r>
    </w:p>
    <w:p>
      <w:r>
        <w:t>Les conclusions du recours étant d'emblée vouées à l'échec, la demande tendant à l'octroi de l'assistance judiciaire totale est rejetée, l'une des conditions cumulatives de l'art. 65 al. 1 PA n'étant pas remplie.</w:t>
      </w:r>
    </w:p>
    <w:p>
      <w:r>
        <w:rPr>
          <w:b/>
        </w:rPr>
        <w:t>E. 12.2</w:t>
      </w:r>
    </w:p>
    <w:p>
      <w:r>
        <w:t>Vu l'issue de la cause, 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