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D-7644/2015 vom 3. Februar 2016</w:t>
      </w:r>
    </w:p>
    <w:p>
      <w:r>
        <w:t>Bundesverwaltungsgericht, 2016-02-03, DE</w:t>
      </w:r>
    </w:p>
    <w:p>
      <w:r>
        <w:rPr>
          <w:b/>
        </w:rPr>
        <w:t xml:space="preserve">Quelle: </w:t>
      </w:r>
      <w:r>
        <w:t>https://mcp.opencaselaw.ch/entscheid/bvger_D-7644_2015</w:t>
      </w:r>
    </w:p>
    <w:p>
      <w:r>
        <w:t>FR: TAF D-7644/2015 du 3 février 2016</w:t>
      </w:r>
    </w:p>
    <w:p>
      <w:r>
        <w:t>IT: TAF D-7644/2015 del 3 febbraio 2016</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wird aus prozessökonomischen Gründen in Englisch akzeptiert und ist deshalb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Mit den dringlichen Änderungen des Asylgesetzes vom 28. September 2012 (AS 2012 5359), welche am 29. September 2012 in Kraft getreten sind, wurden unter anderem die Bestimmungen betreffend die Einrei­chung von Asylgesuchen aus dem Ausland aufgehoben. Die Übergangsbestimmung (Ziffer III) hält jedoch fest, dass für die im Ausland vor dem Inkrafttreten der Änderung vom 28. September 2012 gestellten Gesuche die massgeblichen Artikel (aArt. 12, 19, 20, 41 Abs. 2, 52 und 68 AsylG) in der bisherigen Fassung anwendbar sind. Demnach sind auf den vorliegenden Fall die altrechtlichen Bestimmungen betreffend das Asyl­verfahren anzuwenden.</w:t>
      </w:r>
    </w:p>
    <w:p>
      <w:r>
        <w:rPr>
          <w:b/>
        </w:rPr>
        <w:t>E. 5.1</w:t>
      </w:r>
    </w:p>
    <w:p>
      <w:r>
        <w:t>Ein Asylgesuch kann gemäss aArt. 19 AsylG im Ausland bei einer schweizerischen Vertretung gestellt werden, die es mit einem Bericht an das Bundesamt überweist (aArt. 20 Abs. 1 AsylG). Hinsichtlich des Verfahrens bei der schweizerischen Vertretung im Ausland sieht aArt. 10 der Asylverordnung 1 vom 11. August 1999 über Verfahrensfragen (AsylV 1, SR 142.311) vor, dass diese mit der asylsuchenden Person in der Regel eine Befragung durchführt (aArt. 10 Abs. 1 AsylV 1); dies ist vorliegend der Fall.</w:t>
      </w:r>
    </w:p>
    <w:p>
      <w:r>
        <w:rPr>
          <w:b/>
        </w:rPr>
        <w:t>E. 6.1</w:t>
      </w:r>
    </w:p>
    <w:p>
      <w:r>
        <w:t>Die Vorinstanz kann ein im Ausland gestelltes Asylgesuch ablehnen, wenn die asylsuchende Person keine Verfolgung glaubhaft machen kann oder ihr die Aufnahme in einem Drittstaat zugemutet werden kann (vgl. Art. 3, Art. 7 und aArt. 52 Abs. 2 AsylG).</w:t>
      </w:r>
    </w:p>
    <w:p>
      <w:r>
        <w:rPr>
          <w:b/>
        </w:rPr>
        <w:t>E. 6.2</w:t>
      </w:r>
    </w:p>
    <w:p>
      <w:r>
        <w:t>Gemäss aArt. 20 Abs. 2 AsylG bewilligt das SEM Asylsuchenden die Einreise zur Abklärung des Sachverhaltes, wenn ihnen nicht zugemutet werden kann, im Wohnsitz- oder Aufenthaltsstaat zu bleiben oder in ein anderes Land auszureisen. 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betroffenen Personen, mithin die Prüfung der Fragen, ob eine Gefährdung im Sinne von Art. 3 AsylG glaubhaft gemacht wird und ob der Verbleib am Aufenthaltsort für die Dauer der Sachverhaltsabklä­rung zugemutet werden kann (vgl. BVGE 2011/10 E. 3.3 S. 126 und E. 5.1 S. 128; vgl. auch die Zusammenfassung der Rechtsprechung im Urteil D-2018/2011 vom 14. September 2011 E. 7.1).</w:t>
      </w:r>
    </w:p>
    <w:p>
      <w:r>
        <w:rPr>
          <w:b/>
        </w:rPr>
        <w:t>E. 6.3</w:t>
      </w:r>
    </w:p>
    <w:p>
      <w:r>
        <w:t>Nach Prüfung der Akten durch das Gericht ist festzustellen, dass die Vorinstanz in der angefochtenen Verfügung überzeugend dargelegt hat (auch wenn der Beschwerdeführer zu Recht moniert hat, dass die Landessprache in Brasilien portugiesisch und nicht spanisch ist), dass den von ihm geltend gemachten Vorkommnissen keine einreiserelevante Bedeutung zukommt. Es kann deshalb vorab auf die vorinstanzlichen Erwägungen verwiesen werden (vgl. vorstehend Bst. C.). An dieser Einschätzung können auch die weiteren Ausführungen des Beschwerdeführers in seiner Rechtsmitteleingabe nichts ändern, zumal der Beschwerdeführer im Wesentlichen lediglich an der Asylrelevanz seiner bisherigen Vorbringen und seiner Schutzbedürftigkeit festhält. Das Bundesverwaltungsgericht schliesst sich somit den Ausführungen des SEM vollumfänglich an, zumal sich aus der Beschwerde nichts ergibt, was die Erwägungen der Vorinstanz entkräften könnte.</w:t>
      </w:r>
    </w:p>
    <w:p>
      <w:r>
        <w:rPr>
          <w:b/>
        </w:rPr>
        <w:t>E. 6.4</w:t>
      </w:r>
    </w:p>
    <w:p>
      <w:r>
        <w:t>Somit ist es dem Beschwerdeführer nicht gelungen, eine aktuelle Gefährdung im Sinne von Art. 3 AsylG aufzuzeigen, welche die Bewilligung der Einreise in die Schweiz rechtfertigen würde. Die Schutzbedürftigkeit des Beschwerdeführers im Sinne von aArt. 20 i.V.m. Art. 3 AsylG ist nicht gegeben. Das SEM hat dem Beschwerdeführer zu Recht die Einreise in die Schweiz verweigert und das Asylgesuch abgelehnt.</w:t>
      </w:r>
    </w:p>
    <w:p>
      <w:r>
        <w:rPr>
          <w:b/>
        </w:rPr>
        <w:t>E. 7</w:t>
      </w:r>
    </w:p>
    <w:p>
      <w:r>
        <w:t>Aus diesen Erwägungen ergibt sich, dass die angefochtene Verfügung Bundesrecht nicht verletzt und den rechtserheblichen Sachverhalt richtig und vollständig feststellt (Art. 106 Abs. 1 AsylG). Die Beschwerde ist daher abzuweisen.</w:t>
      </w:r>
    </w:p>
    <w:p>
      <w:r>
        <w:rPr>
          <w:b/>
        </w:rPr>
        <w:t>E. 8</w:t>
      </w:r>
    </w:p>
    <w:p>
      <w:r>
        <w:t>Bei diesem Ausgang des Verfahrens wären dessen Kosten grundsätzlich dem Beschwerdeführer aufzuerlegen (Art. 63 Abs. 1 VwVG). Aus verwaltungsökonomischen Gründen ist indessen in Anwendung von Art. 6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