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D-7641/2015 vom 16. Februar 2016</w:t>
      </w:r>
    </w:p>
    <w:p>
      <w:r>
        <w:t>Bundesverwaltungsgericht, 2016-02-16, DE</w:t>
      </w:r>
    </w:p>
    <w:p>
      <w:r>
        <w:rPr>
          <w:b/>
        </w:rPr>
        <w:t xml:space="preserve">Quelle: </w:t>
      </w:r>
      <w:r>
        <w:t>https://mcp.opencaselaw.ch/entscheid/bvger_D-7641_2015</w:t>
      </w:r>
    </w:p>
    <w:p>
      <w:r>
        <w:t>FR: TAF D-7641/2015 du 16 février 2016</w:t>
      </w:r>
    </w:p>
    <w:p>
      <w:r>
        <w:t>IT: TAF D-7641/2015 del 16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3.3</w:t>
      </w:r>
    </w:p>
    <w:p>
      <w:r>
        <w:t>Das SEM hat die Glaubhaftigkeit der geschilderten Ereignisse nicht bezweifelt. Diese Sichtweise ist zu teilen.</w:t>
      </w:r>
    </w:p>
    <w:p>
      <w:r>
        <w:rPr>
          <w:b/>
        </w:rPr>
        <w:t>E. 3.4</w:t>
      </w:r>
    </w:p>
    <w:p>
      <w:r>
        <w:t>Die Sicherheitslage in Afghanistan wurde vom Gericht analysiert und grundsätzlich als äusserst prekär bezeichnet (vgl. Grundsatzurteil BVGE 2011/7). Einzig für die Grossstädte Kabul sowie später auch für Herat (BVGE 2011/38) und Mazar-i-Sharif (BVGE 2011/49) wurde von einer vergleichsweise stabileren Situation ausgegangen. Vor diesem Hintergrund ist naheliegend, dass der in die Provinz C._______ zurückkehrende Beschwerdeführer dort mit einer angespannten Sicherheitslage konfrontiert wäre, zumal die neuste Entwicklung jedenfalls kein Erstarken des Staates im Kampf gegen die Taliban vor Ort erkennen lässt (vgl. dazu Bundesverwaltungsgerichtsurteil D-3394/2014 vom 26. Oktober 2015 E. 4.5). Soweit die Vorinstanz aber auch davon ausgeht, der Beschwerdeführer würde dort auf eine hinreichende Schutzinfrastruktur vor gezielt gegen seine Person gerichteten Attacken stossen, drängte sich zumindest eine differenzierte Sichtweise auf, sind seine Verwandten doch teilweise offenbar den Taliban zuzurechnen. Aus nachfolgenden Gründen kann aber die staatliche Schutzwilligkeit und Schutzfähigkeit vor Ort letztlich offen gelassen werden. So weist das SEM zurecht darauf hin, die Reise des damals 12jährigen Beschwerdeführers zurück an den Herkunftsort seiner Eltern sei 2004 und mithin vor mehr als elf Jahren erfolgt. Bei der Ankunft kam es offenbar zu gewissen Feindseligkeiten wegen des Familienerbes; dass er als Kind gemischtethnischer lediger Eltern und mithin primär aus ethnischen Gründen relevant diskriminiert worden wäre, kann den Akten indes nicht entnommen werden, konnte er doch zusammen mit den Eltern vorerst bei einer Tante wohnen. In der Folge musste er zwar offenbar eine Koranschule besuchen. Unbesehen der Frage der asylrechtlichen Beachtlichkeit einer solchen Massnahme wäre im heutigen Zeitpunkt jedenfalls nicht mehr von einem solchen erzwungenen Schulbesuch auszugehen. Im Weiteren wurde der Beschwerdeführer bei der Rückreise Opfer einer Verfolgung im Auto, welche seinem Vater das Leben kostete und ihn sehr schwer verletzte. Die Täterschaft soll in der Verwandtschaft zu suchen sein. Auch wenn Belege für eine Beteiligung der erwähnten Verwandten fehlen, kann jedenfalls nicht ausgeschlossen werden, dass tatsächlich ein Onkel oder andere Personen aus dem familiären Umfeld beteiligt waren. Der Anschlag dürfte aber dem Vater und nicht dem Beschwerdeführer als Kind gegolten haben und liegt mittlerweile auch mehr als zehn Jahre zurück. In der Beschwerde wird zwar zu Recht auf die Langlebigkeit familiärer Zwiste vor Ort hingewiesen. Eine aktuell noch beachtliche Verfolgungsmotivation aus ethnischen Gründen ist aber in Berücksichtigung der Fallumstände zu verneinen. So brachte der Beschwerdeführer vor, ein Cousin habe 2007 zweimal im Iran bei seiner Mutter vorgesprochen und möglicherweise im Auftrag der erwähnten Onkel gehandelt (A 18/12 Antworten 23 ff.). Auf eine Nachfrage hin erklärte er vorerst, er wisse nicht, was der Cousin von ihm und seiner Mutter gewollt habe. Dies lässt wiederum nicht konkret auf eine andauernde Verfolgungsmotivation aus ethnischen Gründen schliessen und liegt mittlerweile ebenfalls lang zurück. Hätte damals oder in der Folge tatsächlich noch eine ernstzunehmende Verfolgungsabsicht von Verwandten dem Beschwerdeführer gegenüber bestanden, wäre es besagtem Cousin oder seinen Auftraggebern im Übrigen offenbar problemlos möglich gewesen, auch auf iranischem Gebiet gegen den Beschwerdeführer gewaltsam vorzugehen. Eine solche Vorgehensweise unterblieb aber. Zwar soll eine Anzeige bei einem iranischen Gericht wegen Delikten deponiert worden sein. Die entsprechenden Ausführungen des Beschwerdeführers blieben jedoch ausgesprochen vage und offenbar konnte die Mutter des Beschwerdeführers dennoch im Iran verbleiben. Selbst wenn aber dieses Gericht in der Folge Rechtshilfe an die afghanischen Behörden geleistet haben sollte, könnte darin weder beim iranischen Gericht noch den afghanischen Behörden eine asylrelevante Verfolgungsmotivation erkannt werden, ist ein behördliches Vorgehen auf eine erfolgte Anzeige hin doch durchaus als grundsätzlich rechtsstaatlich legitim zu bezeichnen.</w:t>
      </w:r>
    </w:p>
    <w:p>
      <w:r>
        <w:rPr>
          <w:b/>
        </w:rPr>
        <w:t>E. 3.5</w:t>
      </w:r>
    </w:p>
    <w:p>
      <w:r>
        <w:t>Konkrete Anhaltspunkte dafür, dass der Beschwerdeführer seitens der Sicherheitskräfte oder der den Taliban nahestehenden Verwandten nach der Rückkehr mit relevanten Nachteilen zu rechnen hätte, bestehen mithin nicht. Der nicht bestrittenen generell angespannten Lage vor Ort hat das SEM mit der vorläufigen Aufnahme des Beschwerdeführers Rechnung getragen.</w:t>
      </w:r>
    </w:p>
    <w:p>
      <w:r>
        <w:rPr>
          <w:b/>
        </w:rPr>
        <w:t>E. 4</w:t>
      </w:r>
    </w:p>
    <w:p>
      <w:r>
        <w:t>Unter Berücksichtigung der gesamten Umstände folgt, dass der Be­schwerdeführer keine Gründe nach Art. 3 AsylG nachweisen oder glaub­haft machen konnte. Insbesondere ist nicht davon auszugehen, dass er im aktuellen Zeitpunkt begründete Furcht vor ernsthaften Nachteilen hat. Die Vor­instanz hat die Flüchtlingseigen­schaft zu Recht verneint und das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w:t>
      </w:r>
    </w:p>
    <w:p>
      <w:r>
        <w:t>Der Beschwerdeführer wurde vom SEM mit Entscheid vom 29. Oktober 2015 wegen Unzumutbarkeit des Wegweisungsvollzuges vorläufig in der Schweiz aufgenommen. Ausführungen zum Vollzug der Wegweisung erübrigen sich demnach.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Nachdem das Ge­such im Sinne von Art. 65 Abs. 1 VwVG mit Zwischenverfügung vom 1. Dezember 2015 gutgeheissen wurde und sich seine finanzielle Situation seit­her nicht ent­scheidwesentlich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