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D-7641/2006 vom 14. September 2010</w:t>
      </w:r>
    </w:p>
    <w:p>
      <w:r>
        <w:t>Bundesverwaltungsgericht, 2010-09-14, DE</w:t>
      </w:r>
    </w:p>
    <w:p>
      <w:r>
        <w:rPr>
          <w:b/>
        </w:rPr>
        <w:t xml:space="preserve">Quelle: </w:t>
      </w:r>
      <w:r>
        <w:t>https://mcp.opencaselaw.ch/entscheid/bvger_D-7641_2006</w:t>
      </w:r>
    </w:p>
    <w:p>
      <w:r>
        <w:t>FR: TAF D-7641/2006 du 14 septembre 2010</w:t>
      </w:r>
    </w:p>
    <w:p>
      <w:r>
        <w:t>IT: TAF D-7641/2006 del 14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w:t>
      </w:r>
    </w:p>
    <w:p>
      <w:r>
        <w:t>Die Verfügung des BFM vom 23. Juli 206 ist, wie vom Bundesverwaltungsgericht in seiner Zwischenverfügung vom 16. Januar 2007 festgestellt wurde, soweit die Frage der Flüchtlingseigenschaft und die Asylgewährung betreffend, in Rechtskraft erwachsen, und auch die Anordnung der Wegweisung ist nicht mehr zu überprüfen. Gegenstand des vorliegenden Beschwerdeverfahrens bildet somit einzig die Frage, ob die Wegweisung zu vollziehen oder ob anstelle des Vollzugs die vorläufige Aufnahme anzuordnen ist (Art. 44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Sri Lanka lässt den Wegweisungsvollzug zum heutigen Zeitpunkt nicht als unzulässig erscheinen.</w:t>
      </w:r>
    </w:p>
    <w:p>
      <w:r>
        <w:rPr>
          <w:b/>
        </w:rPr>
        <w:t>E. 4.2.3</w:t>
      </w:r>
    </w:p>
    <w:p>
      <w:r>
        <w:t>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Das Bundesverwaltungsgericht ging aufgrund seiner zuletzt publizierten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Asylsuchender aus Sri Lanka in die Nordprovinz (Distrikte Kilinochchi,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4.3.3</w:t>
      </w:r>
    </w:p>
    <w:p>
      <w:r>
        <w:t>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Urteil des Bundesverwaltungsgerichts D- 4125/2006 vom 16. Februar 2010 E. 10.2.3, mit weiteren Hinweisen). Unter diesen Umständen bleibt weiterhin auf individueller Basis zu prüfen, ob für Tamilen im Süden Sri Lankas respektive im Grossraum Colombo eine innerstaatliche Aufenthaltsalternative besteht.</w:t>
      </w:r>
    </w:p>
    <w:p>
      <w:r>
        <w:rPr>
          <w:b/>
        </w:rPr>
        <w:t>E. 4.3.4</w:t>
      </w:r>
    </w:p>
    <w:p>
      <w:r>
        <w:t>In casu ist für den Beschwerdeführer auch zum heutigen Zeitpunkt das Bestehen einer innerstaatlichen Aufenthaltsalternative zu bejahen; die diesbezüglich in BVGE 2008/2 aufgestellten Kriterien haben für ihn weiterhin Gültigkeit: Eigenen Angaben zufolge stammt der alleinstehende Beschwerdeführer aus F.__________ (Nordprovinz) und hat dort bis zum (...) gelebt ((...)). Er hat (...) Schuljahre absolviert und war in der Folge zusammen mit (...) als (...) tätig. Nebst seiner Muttersprache Tamilisch spricht er keine andere Sprache. Seine Eltern sind (...) ((...)); seine Geschwister ((...)) sind in der Nordprovinz wohnhaft, ebenfalls seine (...). Mangels anderweitiger Anhaltspunkte in den Akten ist zudem anzunehmen, dass der heute 40-jährige Beschwerdeführer gesund ist. Entscheidend für die Beurteilung der individuellen Lage sind indes insbesondere folgende Fakten: Der Beschwerdeführer konnte am (...) legal nach Colombo reisen, sich dort über zwei Monate lang unbehelligt aufhalten und sich dort ohne Probleme eine neue Identitätskarte ausstellen lassen. Es kann deshalb ohne Weiteres davon ausgegangen werden, dass gegen den Beschwerdeführer keinerlei Sicherheitsbedenken seitens der Behörden bestanden (vgl. auch Zwischenverfügungen vom 16. Januar 2007 und 5. Februar 2007, Sachverhalt Bst. D und F hievor) beziehungsweise zum heutigen Zeitpunkt bestehen. Sodann wies die Vorinstanz in ihrer Vernehmlassung vom 14. April 2008 zu Recht darauf hin, dass die Schilderungen des Beschwerdeführers bezüglich seiner Bezugspersonen in Colombo zu vage und zu knapp ausgefallen sind, als dass sie uneingeschränkt geglaubt werden könnten; auch das Bundesverwaltungsgericht hält dafür, dass derartig unpräzise Angaben zu einfachen Sachverhalten, über die der Beschwerdeführer vernünftigerweise Kenntnis haben müsste, auf die Unglaubhaftigkeit der Ausführungen - insbesondere mit Bezug auf ein in Colombo bestehendes Beziehungsnetz - schliessen lassen. Unter all diesen Umständen sollte es dem Beschwerdeführer - allenfalls mit Unterstützung seiner Verwandten - möglich sein, sich in Colombo niederzulassen und sich dort (wieder) eine wirtschaftliche und soziale Existenzgrundlage aufzubauen. Daran vermögen die Ausführungen im Beschwerdeverfahren und die auf Beschwerdeebene eingereichten Unterlagen nichts zu ändern.</w:t>
      </w:r>
    </w:p>
    <w:p>
      <w:r>
        <w:rPr>
          <w:b/>
        </w:rPr>
        <w:t>E. 4.3.5</w:t>
      </w:r>
    </w:p>
    <w:p>
      <w:r>
        <w:t>Der Vollzug der Wegweisung des Beschwerdeführers erweist sich demnach auch nach heutiger Einschätzung der Lage insgesamt nicht als unzumutbar.</w:t>
      </w:r>
    </w:p>
    <w:p>
      <w:r>
        <w:rPr>
          <w:b/>
        </w:rPr>
        <w:t>E. 4.4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Zusammenfassend ergibt sich, dass das BFM den Vollzug der Wegweisung zu Recht als zulässig, zumutbar und möglich erachtet hat. Die Anordnung der vorläufigen Aufnahme fällt demnach nicht in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in der Höhe von insgesamt Fr. 600.- dem Beschwerdeführer aufzuerlegen (Art. 63 Abs. 1 und 5 VwVG i.V.m. Art. 1-3 des Reglements vom 21. Februar 2008 über die Kosten und Entschädigungen vor dem Bundesverwaltungsgericht (VGKE, SR 173.320.2). Sie sind mit dem am 8. Juli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