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D-7634/2008 vom 22. September 2011</w:t>
      </w:r>
    </w:p>
    <w:p>
      <w:r>
        <w:t>Bundesverwaltungsgericht, 2011-09-22, DE</w:t>
      </w:r>
    </w:p>
    <w:p>
      <w:r>
        <w:rPr>
          <w:b/>
        </w:rPr>
        <w:t xml:space="preserve">Quelle: </w:t>
      </w:r>
      <w:r>
        <w:t>https://mcp.opencaselaw.ch/entscheid/bvger_D-7634_2008</w:t>
      </w:r>
    </w:p>
    <w:p>
      <w:r>
        <w:t>FR: TAF D-7634/2008 du 22 septembre 2011</w:t>
      </w:r>
    </w:p>
    <w:p>
      <w:r>
        <w:t>IT: TAF D-7634/2008 del 22 settembre 2011</w:t>
      </w:r>
    </w:p>
    <w:p>
      <w:pPr>
        <w:pStyle w:val="Heading2"/>
      </w:pPr>
      <w:r>
        <w:t>Regeste</w:t>
      </w:r>
    </w:p>
    <w:p>
      <w:r>
        <w:t>Asylverfahren (Übriges)</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Die Beschwerde ist form- und fristgerecht eingereicht. Der Be­schwerdeführer ist durch die angefochtene Verfügung besonders berührt und hat ein schutzwürdiges Interesse an deren Aufhebung bezie­hungsweise Änderung. Der Beschwerdeführer ist daher zur Einreichung der Beschwerde legitimiert (Art. 6 AsylG i.V.m. Art. 48 Abs. 1 sowie Art. 108 Abs. 1 AsylG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vorliegende Beschwerde richtet sich einzig gegen den Vollzug der von der Vorinstanz verfügten Wegweisung. Die Verneinung der Flücht­lingseigenschaft, die Ablehnung des Asylgesuchs sowie die Wegweisung (vgl. Ziffern 1 - 3 des Dispositivs der Verfügung vom 28. Oktober 2008) blieben unangefochten und sind mit Ablauf der Beschwerdefrist in Rechtskraft erwachsen. Im Folgenden ist daher lediglich zu untersuchen, ob die Vorinstanz den Wegweisungsvollzug zu Recht angeordnet hat.</w:t>
      </w:r>
    </w:p>
    <w:p>
      <w:r>
        <w:rPr>
          <w:b/>
        </w:rPr>
        <w:t>E. 4</w:t>
      </w:r>
    </w:p>
    <w:p>
      <w:r>
        <w:t>Lehnt das Bundesamt das Asylgesuch ab oder tritt es darauf nicht ein, so verfügt es in der Regel die Wegweisung aus der Schweiz und ordnet den Vollzug an; es berücksichtigt dabei den Grundsatz der Einheit der Familie (Art. 44 Abs. 1 AsylG). Ist der Vollzug der Wegweisung nicht zulässig, nicht zumutbar oder nicht möglich, so regelt das Bundesamt das Anwesenheitsverhältnis nach den gesetzlichen Bestimmungen über die vorläufige Aufnahme von Ausländern (Art. 44 Abs. 2 AsylG; Art. 83 Abs. 1 AuG).</w:t>
      </w:r>
    </w:p>
    <w:p>
      <w:r>
        <w:rPr>
          <w:b/>
        </w:rPr>
        <w:t>E. 4.1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4.1.1</w:t>
      </w:r>
    </w:p>
    <w:p>
      <w:r>
        <w:t>Das Gericht kommt in seinem Grundsatzurteil BVGE E-7625/2008 vom 16. Juni 2011 zum Schluss, dass in weiten Teilen von Afghanistan - ausser allenfalls in den Grossstädten (vgl. a.a.O. E. 9.9.2 f.) - eine derart schlechte Sicherheitslage und derart schwierige humanitäre Bedingungen bestehen, dass die Situation als existenzbedrohend im Sinne von Art. 83 Abs. 4 AuG zu qualifizieren ist.</w:t>
      </w:r>
    </w:p>
    <w:p>
      <w:r>
        <w:rPr>
          <w:b/>
        </w:rPr>
        <w:t>E. 4.1.2</w:t>
      </w:r>
    </w:p>
    <w:p>
      <w:r>
        <w:t>Von dieser allgemeinen Feststellung ist die Situation in der Hauptstadt Kabul zu unterscheiden. Angesichts des Umstandes, dass sich dort die Sicherheitslage im Verlauf des vergangenen Jahres nicht weiter verschlechtert hat und die humanitäre Situation im Vergleich zu den übrigen Gebieten etwas weniger dramatisch ist, kann der Vollzug der Wegweisung nach Kabul unter Umständen als zumutbar qualifiziert werden.Solche Umstände könnten grundsätzlich namentlich dann gegeben sein, wenn es sich, wie vorliegend, beim Rückkehrer um einen jungen, gesunden Mann handelt. Angesichts der im obgenannten Urteil aufgezeigten konstanten Verschlechterung der Lage über die vergangenen Jahre hinweg und der auch in Kabul schwierigen Situation versteht es sich aber von selbst, dass die bereits in EMARK 2003 Nr. 10 formulierten strengen Bedingungen in jedem Einzelfall sorgfältig geprüft und erfüllt sein müssen, um einen Wegweisungsvollzug nach Kabul als zumutbar zu qualifizieren. Unabdingbar ist in erster Linie ein soziales Netz, das sich im Hinblick auf die Aufnahme und Wiedereingliederung des Rückkehrers als tragfähig erweist. Ohne Unterstützung durch Familie oder Bekannte würden die schwierigen Lebensverhältnisse auch in Kabul unweigerlich in eine existenzielle beziehungsweise lebensbedrohende Situation führen.</w:t>
      </w:r>
    </w:p>
    <w:p>
      <w:r>
        <w:rPr>
          <w:b/>
        </w:rPr>
        <w:t>E. 4.1.3</w:t>
      </w:r>
    </w:p>
    <w:p>
      <w:r>
        <w:t>Wie sich aus den Aussagen des Beschwerdeführers ergibt, lebte dieser von Geburt an bis zur Ausreise aus dem Heimatstaat in F._______, einem Dorf im Bezirk G._______ (Provinz H._______ oder D._______). Die Heimatprovinz des Beschwerdeführers gehört zum zen­tralen Hochland Afghanistans, dem Hazarajat, weshalb es ihm nicht zuzumuten ist, in seine Heimatprovinz D._______ zurückzukehren, ist doch dort unter anderem auch die Versorgung mit Lebensmitteln prekär. Anscheinend haben sich die diesbezüglichen Verhältnisse in den letzten Jahren nicht geändert, musste der Beschwerdeführer doch nach eigenen Angaben schon vor Jahren in E._______ auswandern, um mit seinem dort erzielten Verdienst die zurückgebliebenen Familienmitglieder vor dem Hungertod zu bewahren. Mangels einer Wende zum Besseren ist eine Rückkehr in die Heimatprovinz D._______ ausgeschlossen beziehungsweise unzumutbar. Dementsprechend stellt sich die Frage, ob dem Beschwerdeführer allenfalls eine Aufenthaltsalternative in einem anderen Landesteil Afghanistans zur Verfügung steht. Wie bereits oben erwähnt, setzt die Bejahung einer zumutbaren innerstaatlichen Auf­enthaltsalternative in Kabul insbesondere die dortige Existenz eines tragfähigen Beziehungsnetzes sowie eine gesicherte Wohnsituation voraus. Wie sich aus dem Protokoll der BzP ergibt, leben zwar ein Onkel und ein Cousin in Kabul (A1/11 S. 4); dieses Vorbringen relativierte der Beschwerdeführer indessen anlässlich der Direktanhörung vom 2. Oktober 2007 insofern, als er neu vorbrachte, dieser Onkel sei früher in Kabul wohnhaft gewesen, doch mittlerweile - zum Zeitpunkt der Direktanhörung - wisse er nicht, wo dieser jetzt lebe (A17/13 S. 4). Wie sich zudem aus den Akten ergibt, hat der Beschwerdeführer nie in Kabul gelebt. Der zumindest gemäss Protokoll der BzP in Kabul wohnhafte Onkel, ein Portier mit unregelmässigem Einkommen, lebe selbst in ärmlichen Verhältnissen und verfüge nur über das Notwendigste für sich und seine Angehörigen (vgl. A17/13 S. 9). Dementsprechend könnte sich der Beschwerdeführer bei einer allfälligen Rückkehr nach Kabul nicht auf das Vorhandensein eines tragfähigen sozialen Netzes verlassen, weshalb der Wegweisungsvollzug nach Kabul für ihn als unzumutbar einzustufen ist.</w:t>
      </w:r>
    </w:p>
    <w:p>
      <w:r>
        <w:rPr>
          <w:b/>
        </w:rPr>
        <w:t>E. 4.2</w:t>
      </w:r>
    </w:p>
    <w:p>
      <w:r>
        <w:t>Zusammenfassend ist festzuhalten, dass der Vollzug der Wegweisung aus der Schweiz nach Afghanistan für den Beschwerdeführer zur Zeit nicht zumutbar ist.</w:t>
      </w:r>
    </w:p>
    <w:p>
      <w:r>
        <w:rPr>
          <w:b/>
        </w:rPr>
        <w:t>E. 4.3</w:t>
      </w:r>
    </w:p>
    <w:p>
      <w:r>
        <w:t>Da sich den Akten keine Hinweise entnehmen lassen, wonach der Beschwerdeführer einen der Tatbestände von Art. 83 Abs. 7 AuG (Ausschluss von der vorläufigen Aufnahme) erfüllen würde, ist die Beschwerde, welche sich auf den Vollzug der Wegweisung beschränkte, vollumfänglich gutzuheissen. Die Ziffern 4 und 5 des Dispositivs der angefochtenen Verfügung sind aufzuheben und das BFM ist anzuweisen, den Beschwerdeführer infolge Unzumutbarkeit des Wegweisungsvollzuges vorläufig aufzunehmen.</w:t>
      </w:r>
    </w:p>
    <w:p>
      <w:r>
        <w:rPr>
          <w:b/>
        </w:rPr>
        <w:t>E. 5.1</w:t>
      </w:r>
    </w:p>
    <w:p>
      <w:r>
        <w:t>Bei diesem Ausgang des Verfahrens sind keine Kosten aufzuerlegen (Art. 63 Abs. 1 und 2 VwVG) und der am 8. Dezember 2008 geleistete Kostenvorschuss von Fr. 600.- ist dem Beschwerdeführer zurückzuerstatten.</w:t>
      </w:r>
    </w:p>
    <w:p>
      <w:r>
        <w:rPr>
          <w:b/>
        </w:rPr>
        <w:t>E. 5.2</w:t>
      </w:r>
    </w:p>
    <w:p>
      <w:r>
        <w:t>Dem vertretenen Beschwerdeführer ist angesichts seines Obsiegens eine Parteientschädigung für die ihm notwendigerweise erwachsenen Kosten zuzusprechen (Art. 64 Abs. 1 VwVG sowie Art. 16 Abs. 1 Bst. a VGG i.V.m. Art. 7 Abs. 1 des Reglements vom 21. Februar 2008 über die Kosten und Entschädigungen vor dem Bundesverwaltungsgericht [VGKE, SR 173.320.2]). Die Rechtsvertretung reichte keine Kostennote ein. Indessen lässt sich der Parteiaufwand auf Grund der Akten (vgl. Art. 14 Abs. 2 VGKE) und in Berücksichtigung der massgebenden Bemessungsfaktoren (vgl. Art. 8 ff. VGKE) festlegen. Die Vorinstanz ist anzuweisen, dem Beschwerdeführer eine Parteientschädigung von Fr. 800.- (inkl. Auslagen und allfällige MWSt)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