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D-7634/2007 vom 3. November 2009</w:t>
      </w:r>
    </w:p>
    <w:p>
      <w:r>
        <w:t>Bundesverwaltungsgericht, 2009-11-03, DE</w:t>
      </w:r>
    </w:p>
    <w:p>
      <w:r>
        <w:rPr>
          <w:b/>
        </w:rPr>
        <w:t xml:space="preserve">Quelle: </w:t>
      </w:r>
      <w:r>
        <w:t>https://mcp.opencaselaw.ch/entscheid/bvger_D-7634_2007</w:t>
      </w:r>
    </w:p>
    <w:p>
      <w:r>
        <w:t>FR: TAF D-7634/2007 du 3 novembre 2009</w:t>
      </w:r>
    </w:p>
    <w:p>
      <w:r>
        <w:t>IT: TAF D-7634/2007 del 3 novembre 2009</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des Asylgesetzes vom 26. Juni 1998 [AsylG, SR 142.31] i.V.m. Art. 31 - 33 des Verwaltungsgerichtsgesetzes vom 17. Juni 2005 [VGG, SR 173.32];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Der Beschwerdeführer ist legitimiert; auf die frist- und formgerecht eingereichte Beschwerde ist einzutreten (Art. 6 AsylG i.V.m. Art. 48 Abs. 1, Art. 50 und Art. 52 VwVG).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Entscheide und Mitteilungen der Schweizerischen Asylrekurskommission [EMARK] 1994 Nr. 5 E. 3c S. 43 f.; 1996 Nr. 28 E. 3a S. 270; 2005 Nr. 21 E. 6.1. S. 190 f.). An den genannten Kriterien ist nach wie vor festzuhalten, zumal die Rechtslage diesbezüglich keine Änderung erfahren hat.</w:t>
      </w:r>
    </w:p>
    <w:p>
      <w:r>
        <w:rPr>
          <w:b/>
        </w:rPr>
        <w:t>E. 3.3</w:t>
      </w:r>
    </w:p>
    <w:p>
      <w:r>
        <w:t>Nach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Begründete Furcht vor Verfolgung liegt vor, wenn ein konkreter Anlass zur Annahme besteht, Letztere hätte sich - aus der Sicht im Zeitpunkt der Ausreise - mit beachtlicher Wahrscheinlichkeit und in absehbarer Zukunft verwirklicht.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(vgl. EMARK 2005 Nr. 21 E. 7 S. 193 f. und dort zitierte Urteile). Ferner setzt die Anerkennung der Flüchtlingseigenschaft voraus, dass die betroffene Person einer landesweiten Verfolgung ausgesetzt ist und sich nicht in einem anderen Teil ihres Heimatstaates in Schutz bringen kann (EMARK 2006 Nr. 18).</w:t>
      </w:r>
    </w:p>
    <w:p>
      <w:r>
        <w:rPr>
          <w:b/>
        </w:rPr>
        <w:t>E. 3.4</w:t>
      </w:r>
    </w:p>
    <w:p>
      <w:r>
        <w:t>Bei der Prüfung der geltend gemachten Reflexverfolgung in der Türkei ist das Folgende zu beachten (vgl. EMARK 2005 Nr. 21 E. 10.2.3. S. 199 f.): Staatliche Repressalien können gegen Familienangehörige von politischen Aktivisten als sogenannte Reflexverfolgung flüchtlingsrechtlich erheblich im Sinne von Art. 3 AsylG sein. Dies gilt selbst unter Berücksichtigung der neusten Entwicklungen in der Türkei (vgl. auch Urteile des Bundesverwaltungsgerichts D-7585/2007 vom 4. Februar 2008 E. 5.2 S. 13 ff. sowie D-1306/2008 vom 4. Dezember 2008 E. 4.5 S. 19 ff., wo in Bezug auf die Entwicklung des Menschenrechtsschutzes in der Türkei in jüngerer Zeit sogar eine rückläufige Tendenz festgestellt wurde). Die Wahrscheinlichkeit, Opfer einer Reflexverfolgung zu werden, ist namentlich dann gegeben, wenn nach einem flüchtigen Familienmitglied gefahndet wird und die Behörde Anlass zur Vermutung hat, dass jemand mit der gesuchten Person in engem Kontakt steht. Ungeachtet der Rechtsreformen der Türkei im Hinblick auf eine allfällige spätere Aufnahme in die Europäische Union lässt sich in der Türkei die Gefahr allfälliger Repressalien gegen Verwandte mutmasslicher Aktivisten der PKK (beziehungsweise einer ihrer Nachfolgeorganisationen) oder anderer von den Behörden als separatistisch eingestufter kurdischer Gruppierungen nicht a priori ausschliessen. Familienangehörige müssen auch heute noch mit Hausdurchsuchungen und kürzeren Festnahmen rechnen, die oft mit Beschimpfungen und Schikanen verbunden sind. Ein Regelverhalten der türkischen Behörden lässt sich jedoch nicht ausmachen; vielmehr hängen die Wahrscheinlichkeit einer Reflexverfolgung und deren Intensität stark von den konkreten Umständen des Einzelfalles ab. Dabei kann hinter einer Reflexverfolgung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 halten. Die Gefahr einer Reflexverfolgung wird aber umso dringlicher, wenn zudem eigene politische Aktivitäten vorliegen.</w:t>
      </w:r>
    </w:p>
    <w:p>
      <w:r>
        <w:rPr>
          <w:b/>
        </w:rPr>
        <w:t>E. 3.5.1</w:t>
      </w:r>
    </w:p>
    <w:p>
      <w:r>
        <w:t>Vorab ist klarzustellen, dass den Befragungsprotokollen keine Hinweise auf ein eigenes politisches Engagement des Beschwerdeführers entnommen werden können. Seine Zugehörigkeit zu einer Familie aus einem politisch aktiven Umfeld ist indes unbestritten. Keine Zweifel ergeben sich ferner an seiner grundsätzlich bestehenden Militärdienstpflicht. Die Festnahme bei der Einreise in _______ zwecks entsprechender Abklärungen erscheint in Anbetracht seiner langjährigen Landesabwesenheit somit als durchaus plausibel. Ausserdem liegt nahe, dass er dabei auch zu Belangen der Verwandtschaft befragt wurde. Die Freilassung nach zwei Tagen statt der direkten Überstellung an die zuständige Militärbehörde ist insofern nachvollziehbar, als der Beschwerdeführer, welcher sein Land bereits als _______ verlassen hatte und entsprechend noch nicht ausgehoben wurde, wohl kaum zur Fahndung ausgeschrieben war (vgl. A 13/23, Antwort 32). Hingegen ist dem BFM beizupflichten, dass die zweiwöchige Haft in _______ und die dortigen Entlassungsmodalitäten realitätsfremd anmuten. Sollte er tatsächlich in der geschilderten Art zwei Wochen im polizeilichen Gewahrsam verbracht haben, wäre davon auszugehen gewesen, dass ihn die dortige Behörde anschliessend direkt dem Militär zugeführt hätte. Dies umso mehr, als der Dienstantritt ja in wenigen Tagen in Aussicht gestellt worden sein soll (was in Anbetracht der noch nicht erfolgten Aushebung allerdings Fragen aufwirft) und man ihm mit der Freilassung eine offensichtliche Möglichkeit der Flucht eröffnet hätte. Nur sehr bedingt nachvollziehbar ist ferner der Umstand, wonach die Polizei in _______ über den Einsatzort des noch nicht militärisch ausgehobenen Beschwerdeführers bereits orientiert gewesen sein soll. Die Behauptung auf Beschwerdeebene, er sei nur freigekommen, weil ihn die Behörden wegen seiner allenfalls von der Schweiz aus politisch aktiven Mutter zu Spitzeldiensten hätten heranziehen wollen, wirkt sehr spekulativ. Dies umso mehr, als er zu diesem Zwecke wohl in die Schweiz hätte zurückkehren müssen, was mit der angeblich bevorstehenden Einziehung zum Dienst nicht zu vereinbaren ist. Abgesehen davon sind die entsprechenden Schilderungen als ausgesprochen vage zu bezeichnen (A 2/10, S. 6). Ferner weist das BFM zu Recht darauf hin, er wisse über politische Probleme seiner Familie kaum Bescheid, weshalb eine vierzehntägige Befragung in der Haft zu diesen Belangen nicht nachvollzogen werden könne (vgl. A 13/23, Antwort 179). Gemäss Aktenlage und entgegen den Beschwerdevorbringen wurde er im Übrigen anlässlich der Haft in _______ nicht gefoltert, und die Beschimpfungen und Erniedrigungen erreichten nicht die Intensität von ernsthaften Nachteilen (vgl. A 13/23, Antwort 117). Anhaltspunkte, dass er wegen der angeblichen Traumatisierung nicht in der Lage gewesen sei, weitergehende Misshandlungen oder sogar eine erlittene Folter zu artikulieren, bestehen gemäss Anhörungsprotokoll nicht. Überdies wurde er am Ende der Anhörung explizit gefragt, ob er etwas, was er bisher noch nicht vorgebracht habe, erwähnen wolle, was er klarerweise verneinte (A 13/23, Antwort 182). Der Einwand in der Beschwerdeschrift, die Vorinstanz habe diesbezüglich zu wenig abgeklärt, erweist sich mithin als unzutreffend. Die geltend gemachte erneute Festnahme im Herkunftsgebiet verbunden wiederum mit Fragen zum familiären Umfeld erscheint demnach in der angegebenen Dauer und Intensität als nicht glaubhaft. Nach dem Gesagten ist nicht auszuschliessen, dass der Beschwerdeführer nach der geltend gemachten Rückkehr kurz festgenommen und befragt wurde. Weitergehende Nachteile im Sinne einer zweiwöchigen Inhaftierung verbunden mit Misshandungen oder Folter konnte er demgegenüber nicht glaubhaft machen. Die erlittene Vorverfolgung erscheint damit nicht als asylrechtlich relevant.</w:t>
      </w:r>
    </w:p>
    <w:p>
      <w:r>
        <w:rPr>
          <w:b/>
        </w:rPr>
        <w:t>E. 3.5.2</w:t>
      </w:r>
    </w:p>
    <w:p>
      <w:r>
        <w:t>Wie die Vorinstanz bereits in ihrer Vernehmlassung ausführte und in der Folge auch nicht bestritten wurde, ist davon auszugehen, dass die Mutter des Beschwerdeführers selbst keine nennenswerten politischen Aktivitäten ausübte. Es wurde bei ihr von einer begründeten Furcht vor Reflexverfolgung ausgegangen, weil verschiedene nahe Familienmitglieder, so insbesondere einer ihrer Brüder und eine Schwester, in der Schweiz Asyl erhalten hatten. Ihr Vater sei bei einer Konfrontation mit den türkischen Behörden ums Leben gekommen. Der Vater des Beschwerdeführers kehrte im Juni _______ von Deutschland aus in die Türkei zurück. Am _______ reiste er in die Schweiz. Sein Asylgesuch _______ lehnte das BFM betreffend originärer Flüchtlingseigenschaft ab. Die Vorinstanz hielt im angefochtenen Entscheid fest, die angebliche Verfolgung im Heimatland sei nicht glaubhaft. Aufgrund des Status seiner Ehefrau wurde ihm jedoch gestützt auf Art. 51 Abs. 1 AsylG Asyl gewährt. Soweit sich der Beschwerdeführer in den Eingaben auf eine begründete Furcht vor zukünftiger Reflexverfolgung beruft, vermag dies nicht zu überzeugen. Festzuhalten ist, dass die angeblich bereits erlittene Haft in _______, welche (auch) wegen familiärer Belange erfolgt sein soll, in der geschilderten Länge und betreffend der erlittenen Folter gemäss oben stehenden Erwägungen nicht glaubhaft ist. Hinzu kommt, dass der Vater des Beschwerdeführers, welcher _______ vor Ort gewesen sein soll, keine relevante (Reflex-) Verfolgung glaubhaft machen konnte und der entsprechende vorinstanzliche Entscheid unangefochten in Rechtskraft erwuchs. Somit erscheint auch eine zukünftige Reflexverfolgung des Beschwerdeführers nicht als überwiegend wahrscheinlich. Zwar ist nicht auszuschliessen, dass der Beschwerdeführer wegen der durchaus vorhandenen politischen Probleme von weiteren geflüchteten Angehörigen des Familienclans wie namentlich von Onkel und Tante im Falle der Rückkehr gewisse Fragen zu gewärtigen hat. Allerdings fehlen in der Beschwerdeschrift überzeugende Argumente, dass er wegen dieser Verwandter ernsthaften Übergriffen ausgesetzt werden könnte. So haben die Befragungen anlässlich seiner Rückreise im Jahre 2006 keine asylrechtlich relevante Intensität erreicht, der Beschwerdeführer wie auch seine Eltern waren selber nie politisch aktiv und eine besondere Nähe zu aktuell politisch aktiven Personen oder solchen nach denen zurzeit aktiv gefahndet wird, ergibt sich aus den Akten nicht. Im Folgenden bleibt demnach noch zu prüfen, ob der bevorstehende Militärdienst respektive ein Verfahren wegen der geltend gemachten Refraktion in Anbetracht seines Persönlichkeitsprofils unter den Verfolgungsbegriff im Sinne begründeter Furcht von Art. 3 AsylG zu subsumieren ist.</w:t>
      </w:r>
    </w:p>
    <w:p>
      <w:r>
        <w:rPr>
          <w:b/>
        </w:rPr>
        <w:t>E. 3.5.3</w:t>
      </w:r>
    </w:p>
    <w:p>
      <w:r>
        <w:t>Türkische Staatsbürger werden in der Türkei wie auch bei einer Einreise routinemässig überprüft, wobei erfahrungsgemäss auch Erkundigungen in der Heimatprovinz eingeholt werden. Dabei haben insbesondere Personen, die wie der Beschwerdeführer mit linkslastigen Kreisen in Verbindung gebracht werden, mit einer erhöhten Gefährdung und eingehender Kontrollen zu rechnen (vgl. EMARK 2005 Nr. 21 E. 11.2 S. 202 sowie Urteil des Bundesverwaltungsgerichts E-5277/2006 vom 10. März 2009). Da er zudem den Militärdienst noch nicht geleistet respektive diesen verweigert hat, erscheint seine erneute Festnahme bei der Wiedereinreise als durchaus realistisch. Praxisgemäss stellen aber allfällige strafrechtliche Konsequenzen wegen Refraktion, Dienstverweigerung oder Desertion bei einer Rückkehr ins Heimatland grundsätzlich keine Verfolgung im Sinne des Asylgesetzes dar. Es ist ein legitimes Recht jedes Staates, seine Bürger zum Militärdienst einzuberufen, weshalb strafrechtliche oder disziplinarische Massnahmen bei Pflichtverletzungen grundsätzlich nicht als politisch motivierte oder menschenrechtswidrige Verfolgungsmassnahmen zu betrachten sind (vgl. EMARK 2004 Nr. 2; 2006 Nr. 3 E. 4.2 S. 31 f. mit weiteren Hinweisen). Allerdings stellt eine wegen Missachtung der Dienstpflicht drohende Strafe dann eine asylrelevante Verfolgung dar, wenn der Wehrpflichtige wegen seines Verhaltens mit einer Strafe zu rechnen hat, welche entweder aus Gründen nach Art. 3 AsylG diskriminierend höher ausfällt oder an sich unverhältnismässig hoch ist. Ebenfalls illegitim und daher flüchtlingsrechtlich relevant ist eine Einberufung zum Militärdienst, wenn sie darauf abzielt, einem Wehrpflichtigen aus einem der in Art. 3 AsylG genannten Gründe erhebliche Nachteile zuzufügen oder diesen in völkerrechtlich verpönte Handlungen zu verstricken (vgl. EMARK 2006 Nr. 3 E. 4.2 S. 32, EMARK 2004 Nr. 24). In Berücksichtigung der Erwägungen unter Ziff. 3.5 ist im Kontext mit der geltend gemachten Refraktion mit überwiegender Wahrscheinlichkeit davon auszugehen, dass eine allfällige militärstrafrechtliche Sanktion allein wegen der geflohenen Verwandten kaum relevant höher als üblich beziehungsweise diskriminierend ausfallen würde. Dies nicht zuletzt auch deshalb, weil weder ein eigenes politisches Profil des Beschwerdeführers noch eine Vorverfolgung ersichtlich sind.</w:t>
      </w:r>
    </w:p>
    <w:p>
      <w:r>
        <w:rPr>
          <w:b/>
        </w:rPr>
        <w:t>E. 3.6</w:t>
      </w:r>
    </w:p>
    <w:p>
      <w:r>
        <w:t>Dem Beschwerdeführer ist es demnach nicht gelungen, nachzuweisen oder glaubhaft zu machen, dass er in der Türkei aktuell begründete Furcht vor ernsthaften Nachteilen im Sinne von Art. 3 Abs. 2 AsylG haben muss. Die diesbezüglichen Erwägungen des BFM sind entgegen den Beschwerdevorbringen nicht zu beanstanden. Es erübrigt sich, auf weitere Beschwerdevorbringen oder den erwähnten SFH-Bericht im Einzelnen einzugehen, weil sie am Ergebnis nichts ändern können. Das Bundesamt hat das Asylgesuch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5</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Allein die Möglichkeit eines allfälligen militärstrafrechtlichen Verfahrens erfüllt diese Anforderungen nicht.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(BVGE 2008 Nr. 5).</w:t>
      </w:r>
    </w:p>
    <w:p>
      <w:r>
        <w:rPr>
          <w:b/>
        </w:rPr>
        <w:t>E. 7.2</w:t>
      </w:r>
    </w:p>
    <w:p>
      <w:r>
        <w:t>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w:t>
      </w:r>
    </w:p>
    <w:p>
      <w:r>
        <w:rPr>
          <w:b/>
        </w:rPr>
        <w:t>E. 7.3</w:t>
      </w:r>
    </w:p>
    <w:p>
      <w:r>
        <w:t>Der Beschwerdeführer lebte gemäss seinen Aussagen bis 2006 in Deutschland, wo er eine gewisse Ausbildung absolvierte und in verschiedenen Bereichen arbeitstätig war (A 13/23, Antworten 14 ff.). Relevante gesundheitliche Probleme können den Akten nicht entnommen werden. In der Türkei konnte er sich bei seiner Grossmutter in _______ aufhalten. Er verfügt zudem über gute Kenntnisse mehrerer Sprachen (A 2/10. S. 2 unten f.). Ferner können ihn die in Europa lebenden Verwandten bei der Rückkehr unterstützen. Somit ist davon auszugehen, dass er sich in der Türkei eine tragfähige Existenz aufbauen kann.</w:t>
      </w:r>
    </w:p>
    <w:p>
      <w:r>
        <w:rPr>
          <w:b/>
        </w:rPr>
        <w:t>E. 7.4</w:t>
      </w:r>
    </w:p>
    <w:p>
      <w:r>
        <w:t>Nach dem Gesagten erweist sich der Vollzug der Wegweisung auch als zumutbar.</w:t>
      </w:r>
    </w:p>
    <w:p>
      <w:r>
        <w:rPr>
          <w:b/>
        </w:rPr>
        <w:t>E. 8</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grundsätzlich dem Beschwerdeführer aufzuerlegen (Art. 63 Abs. 1 VwVG). Da das Gesuch im Sinne von Art. 65 Abs. 1 VwVG mit Zwischenverfügung vom 20. November 2007 gutgeheissen wurde, ist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