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D-761/2021 vom 24. Februar 2021</w:t>
      </w:r>
    </w:p>
    <w:p>
      <w:r>
        <w:t>Bundesverwaltungsgericht, 2021-02-24, DE</w:t>
      </w:r>
    </w:p>
    <w:p>
      <w:r>
        <w:rPr>
          <w:b/>
        </w:rPr>
        <w:t xml:space="preserve">Quelle: </w:t>
      </w:r>
      <w:r>
        <w:t>https://mcp.opencaselaw.ch/entscheid/bvger_D-761_2021</w:t>
      </w:r>
    </w:p>
    <w:p>
      <w:r>
        <w:t>FR: TAF D-761/2021 du 24 février 2021</w:t>
      </w:r>
    </w:p>
    <w:p>
      <w:r>
        <w:t>IT: TAF D-761/2021 del 24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Wenn ein Antragsteller aus einem Drittstaat kommend die Land-, See- oder Luftgrenze eines Mitgliedstaats illegal überschritten hat, ist dieser Mitgliedstaat gemäss Art. 13 Abs. 1 Dublin-III-VO für die Prüfung des Antrags auf internationalen Schutz zuständig.</w:t>
      </w:r>
    </w:p>
    <w:p>
      <w:r>
        <w:rPr>
          <w:b/>
        </w:rPr>
        <w:t>E. 4.3</w:t>
      </w:r>
    </w:p>
    <w:p>
      <w:r>
        <w:t>Den Akten ist zu entnehmen, dass der Beschwerdeführer am 7. Januar 2021 in Spanien aufgegriffen und daktyloskopiert worden war. Im Rahmen seines Dublin-Gesprächs bestätigte er, dass er sich vor der Einreise in die Schweiz in Spanien aufgehalten hat. Die spanischen Behörden hiessen das Gesuch der Vorinstanz um dessen Aufnahme (take charge) gestützt auf Art. 13 Abs. 1 Dublin-III-VO am 10. Februar 2021 ausdrücklich gut. Die Zuständigkeit Spaniens steht somit grundsätzlich fest und wird vom Beschwerdeführer auch nicht bestritten.</w:t>
      </w:r>
    </w:p>
    <w:p>
      <w:r>
        <w:rPr>
          <w:b/>
        </w:rPr>
        <w:t>E. 5.1</w:t>
      </w:r>
    </w:p>
    <w:p>
      <w:r>
        <w:t>Nachfolgend ist im Lichte von Art. 3 Abs. 2 Dublin-III-VO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w:t>
      </w:r>
    </w:p>
    <w:p>
      <w:r>
        <w:rPr>
          <w:b/>
        </w:rPr>
        <w:t>E. 5.2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Entgegen den Ausführungen in der Beschwerdeschrift gibt es keine wesentlichen Gründe für die Annahme, das Asylverfahren und die Aufnahmebedingungen für Asylsuchende in Spanien würden systemische Schwachstellen aufweisen, die eine Gefahr einer unmenschlichen oder entwürdigenden Behandlung im Sinne des Artikels 4 der EU-Grundrechtecharta mit sich bringen würden. Für die Feststellung systemischer Schwachstellen bedarf es struktureller und landesweiter Missstände, die eine individuelle und konkrete Gefahr für jeden einzelnen oder zumindest eine nennenswerte Anzahl von Asylbewerbern bedeuten, welche von den nationalen Behörden tatenlos hingenommen wird (vgl. Urteil des BVGer E-223/2016 vom 11. Februar 2016 S. 12). Solche Missstände sind in Bezug auf Spanien auch unter Berücksichtigung der Ausführungen in der Beschwerdeschrift nicht auszumachen. Die vom Beschwerdeführer geäusserte Vermutung, er könnte angesichts des überlasteten spanischen Asylsystems und der Mängel in den Unterbringungsstrukturen - im Hinblick auf das Ansteckungsrisiko infolge der Corona-Pandemie - unter gesundheitsgefährdenden Bedingungen inhaftiert werden, erweist sich als rein spekulativ. Ebenso wenig ist die pauschale Behauptung, dass (nordafrikanische) Asylsuchende in Spanien von Seiten der Bevölkerung oder der Polizei rassistisch motivierten Diskriminierungen ausgesetzt seien, geeignet, auf eine konkrete Gefährdung sämtlicher respektive einer grossen Anzahl von asylsuchenden Personen in Spanien zu schliessen. 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AsylV 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Wie die Vorinstanz zutreffend festhielt, steht es dem Beschwerdeführer nach erfolgter Überstellung nach Spanien offen, dort um Asyl nachzusuchen und damit Zugang zu den asylrechtlichen Aufnahmestrukturen zu erhalten. In diesem Zusammenhang hat er kein konkretes und ernsthaftes Risiko dargetan, die spanischen Behörden würden sich weigern, ihn aufzunehmen und seinen Antrag auf internationalen Schutz unter Einhaltung der Regeln der Verfahrensrichtlinie und der Respektierung des Grundsatzes des Non-Refoulement zu prüfen. Zwar gab er an, dass er im Freien unter einer Brücke habe übernachten müssen und keine Unterstützung erhalten habe. Es gibt jedoch keine konkreten Hinweise für die Annahme, Spanien würde ihm dauerhaft die ihm gemäss Aufnahmerichtlinie zustehenden minimalen Lebensbedingungen vorenthalten, so dass die bei einer Rückführung zu erwartenden Bedingungen zu einer Verletzung von Art. 4 der EU-Grundrechtecharta, Art. 3 EMRK oder Art. 3 FoK führen könnten. Bei einer allfälligen vorübergehenden Einschränkung könnte er sich nötigenfalls an die dortigen Behörden wenden und die ihm zustehenden Aufnahmebedingungen auf dem Rechtsweg einfordern (vgl. Art. 26 Aufnahmerichtlinie).</w:t>
      </w:r>
    </w:p>
    <w:p>
      <w:r>
        <w:rPr>
          <w:b/>
        </w:rPr>
        <w:t>E. 6.3</w:t>
      </w:r>
    </w:p>
    <w:p>
      <w:r>
        <w:t>Der Beschwerdeführer macht geltend, dass es sich bei ihm aufgrund seines Gesundheitszustands um eine vulnerable Person handle. Das SEM habe es in Verletzung des Untersuchungsgrundsatzes unterlassen, weitere Abklärungen hinsichtlich des medizinischen Sachverhalts vorzunehmen. Diesbezüglich ist festzuhalten, dass der Beschwerdeführer erklärte, er leide bereits seit seiner Kindheit an (...)problemen und könne (...). Er habe deswegen aufhören müssen, Sport zu treiben. Diese gesundheitlichen Probleme sind zwar bedauerlich und stellen durchaus eine gewisse Einschränkung dar. Sie bestehen aber bereits seit längerem und haben den Beschwerdeführer nicht daran gehindert, die - eigenen Angaben zufolge gefährliche - Reise nach Europa anzutreten. Zudem ist er nicht auf Medikamente angewiesen und befindet sich den Akten zufolge auch nicht in ärztlicher Behandlung. Es ist nicht ersichtlich, inwiefern der Beschwerdeführer eine allenfalls notwendige adäquate Behandlung seiner gesundheitlichen Probleme nicht auch in Spanien erhältlich machen könnte. Das Land verfügt über eine ausreichende medizinische Infrastruktur und die Mitgliedstaaten sind verpflichtet, den Antragstellern die erforderliche medizinische Versorgung zugänglich zu machen (Art. 19 Abs. 1 Aufnahmerichtlinie) sowie Antragstellern mit besonderen Bedürfnissen die erforderliche medizinische oder sonstige Hilfe (einschliesslich nötigenfalls einer geeigneten psychologischen Betreuung) zu gewähren (Art. 19 Abs. 2 Aufnahmerichtlinie). Es gibt keine konkreten Anhaltspunkte dafür, dass Spanien dem Beschwerdeführer eine allfällige zukünftig notwendige medizinische Behandlung verweigern würde. Vor diesem Hintergrund bestand für die Vorinstanz keine Veranlassung, aufgrund der vom Beschwerdeführer geltend gemachten gesundheitlichen Beschwerden - seit der Kindheit bestehende (...)probleme - weitere Abklärungen zu tätigen. Entgegen der in der Beschwerdeschrift vertretenen Auffassung handelt es sich bei ihm auch nicht um eine besonders vulnerable Person. Seine medizinischen Probleme sind - trotz der nicht zu verkennenden Einschränkung - nicht als allzu gravierend einzustufen, zumal eine Behandlung bislang offenbar nicht akut erforderlich war. Unter den vorliegenden Umständen erscheint es auch nicht angezeigt, das SEM zu verpflichten, bei den spanischen Behörden Garantien für die spätere Unterbringung des Beschwerdeführers einzuholen.</w:t>
      </w:r>
    </w:p>
    <w:p>
      <w:r>
        <w:rPr>
          <w:b/>
        </w:rPr>
        <w:t>E. 6.4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Zusammenfassend besteht kein Grund für eine Anwendung der Ermessensklauseln von Art. 17 Dublin-III-VO. Somit bleibt Spanien der für die Behandlung des Asylgesuches des Beschwerdeführers zuständige Mitgliedstaat gemäss Dublin-III-VO.</w:t>
      </w:r>
    </w:p>
    <w:p>
      <w:r>
        <w:rPr>
          <w:b/>
        </w:rPr>
        <w:t>E. 7</w:t>
      </w:r>
    </w:p>
    <w:p>
      <w:r>
        <w:t>Das SEM ist demnach zu Recht in Anwendung von Art. 31a Abs. 1 Bst. b AsylG auf das Asylgesuch des Beschwerdeführers nicht eingetreten. Da er nicht im Besitze einer gültigen Aufenthalts- oder Niederlassungsbewilligung ist, wurde die Überstellung nach Spanien in Anwendung von Art. 44 AsylG ebenfalls zu Recht angeordnet (Art. 32 Bst. a AsylV 1).</w:t>
      </w:r>
    </w:p>
    <w:p>
      <w:r>
        <w:rPr>
          <w:b/>
        </w:rPr>
        <w:t>E. 8</w:t>
      </w:r>
    </w:p>
    <w:p>
      <w:r>
        <w:t>Nach dem Gesagten ist die Beschwerde abzuweisen und die Verfügung des SEM zu bestätigen.</w:t>
      </w:r>
    </w:p>
    <w:p>
      <w:r>
        <w:rPr>
          <w:b/>
        </w:rPr>
        <w:t>E. 9.1</w:t>
      </w:r>
    </w:p>
    <w:p>
      <w:r>
        <w:t>Die Gesuche um Erteilung der aufschiebenden Wirkung und Anordnung von vorsorglichen Massnahmen sowie Verzicht auf die Erhebung eines Kostenvorschusses werden mit dem vorliegenden Urteil gegenstandslos.</w:t>
      </w:r>
    </w:p>
    <w:p>
      <w:r>
        <w:rPr>
          <w:b/>
        </w:rPr>
        <w:t>E. 9.2</w:t>
      </w:r>
    </w:p>
    <w:p>
      <w:r>
        <w:t>Das Gesuch um Gewährung der unentgeltlichen Rechtspflege (Art. 65 VwVG) ist abzuweisen, da die mit der Beschwerde gestellten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