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D-7604/2009 vom 15. März 2010</w:t>
      </w:r>
    </w:p>
    <w:p>
      <w:r>
        <w:t>Bundesverwaltungsgericht, 2010-03-15, DE</w:t>
      </w:r>
    </w:p>
    <w:p>
      <w:r>
        <w:rPr>
          <w:b/>
        </w:rPr>
        <w:t xml:space="preserve">Quelle: </w:t>
      </w:r>
      <w:r>
        <w:t>https://mcp.opencaselaw.ch/entscheid/bvger_D-7604_2009</w:t>
      </w:r>
    </w:p>
    <w:p>
      <w:r>
        <w:t>FR: TAF D-7604/2009 du 15 mars 2010</w:t>
      </w:r>
    </w:p>
    <w:p>
      <w:r>
        <w:t>IT: TAF D-7604/2009 del 15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die frist- und - vom sprachlichen Mangel abgesehen -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Die Beschwerdeführerin macht in ihrer Beschwerde vorab in formeller Hinsicht geltend, durch die unterbliebene Anhörung in der Botschaft sei ihr ein wesentlicher Rechtsnachteil erwachsen, weil ihr dabei die Möglichkeit genommen worden sei, ihre wirkliche Verfolgungssituation anschaulich zu schildern, was für die erstinstanzliche Entscheidfindung von ausschlaggebender Bedeutung gewesen wäre.</w:t>
      </w:r>
    </w:p>
    <w:p>
      <w:r>
        <w:rPr>
          <w:b/>
        </w:rPr>
        <w:t>E. 5.2</w:t>
      </w:r>
    </w:p>
    <w:p>
      <w:r>
        <w:t>Gemäss Praxis ist im Auslandverfahren die asylsuchende Person in der Regel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zum Ganzen BVGE 2007/ 30 S. 357 ff.).</w:t>
      </w:r>
    </w:p>
    <w:p>
      <w:r>
        <w:rPr>
          <w:b/>
        </w:rPr>
        <w:t>E. 5.3</w:t>
      </w:r>
    </w:p>
    <w:p>
      <w:r>
        <w:t>Im vorliegenden Fall wurde auf eine Botschaftsanhörung der Beschwerdeführerin zu ihrem Asylgesuch verzichtet. Die Botschaft selbst hat den Verzicht auf eine persönliche Anhörung der Beschwerdeführerin mit mangelnden personellen Ressourcen, also einer Überlastung begründet (vgl. Sachverhalt Bst. B). Die Botschaft hat die Beschwerdeführerin hingegen mittels eines individualisierten Schreibens am 29. Januar 2009 zur weiteren Konkretisierung ihrer Asylgründe aufgefordert und signalisierte in besagtem Schreiben auch die Erwartungshaltung, dass sie sich erschöpfend zu ihren Ausreisegründen äussere, damit ihr Fall abschliessend beurteilt werden könne. Die entsprechende Eingabe der Beschwerdeführerin vom 5. Februar 2009 enthält denn auch - im Verbund mit ihren weiteren Schreiben vom 25. Februar 2009, vom 16. und 27. März 2009 und vom 12., 22. und 26. Mai 2009 (vgl. Sachverhalt Bst. C i.V.m. Bst. G) - hinreichend konkrete Informationen zum für das Asylgesuch relevanten Sachverhalt, so dass dieser seitens des BFM grundsätzlich als erstellt betrachtet werden konnte. Das BFM hat der Beschwerdeführerin überdies am 14. September 2009 vorgängig seines am 23. Oktober 2009 getroffenen Entscheides nochmals das rechtliche Gehör zur allfälligen Ergänzung des Sachverhalts (vgl. Sachverhalt Bst. D), wovon die Beschwerdeführerin mit Eingaben vom 19. September 2009 und vom 1. Oktober 2009 (vgl. Sachverhalt Bst. E und F) denn auch Gebrauch gemacht hat. Schliesslich hat das BFM den Verzicht auf eine Befragung der Beschwerdeführerin durch die Botschaft in seiner Verfügung auch mittels des Hinweises, auf Grund der Dokumentation der geltend gemachten Vorkommnisse und ihrer schriftlichen Eingaben sei der Sachverhalt als hinreichend erstellt zu erachten, in rechtsgenüglicher Weise begründet. Wie nachstehend unter Erwägung ausgeführt wird, erachtet auch das Bundesverwaltungsgericht den Sachverhalt vorliegend auch ohne Anhörung der Beschwerdeführerin durch die Botschaft als vollständig und richtig erstellt. Ihre pauschale Behauptung, sie sei mangels persönlicher Anhörung nicht in die Lage, ihre tatsächliche Gefährdungslage offenzulegen, vermag nicht zu überzeugen. Vor diesem Hintergrund kann vorliegend im Umstand, dass das BFM auf eine Anhörung der Beschwerdeführerin verzichtete, keine Verletzung von Bundesrecht erblickt werden.</w:t>
      </w:r>
    </w:p>
    <w:p>
      <w:r>
        <w:rPr>
          <w:b/>
        </w:rPr>
        <w:t>E. 6.1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7.2</w:t>
      </w:r>
    </w:p>
    <w:p>
      <w:r>
        <w:t>Bei diesem Entscheid gelten restriktive Voraussetzungen für die Erteilung einer Einreisebewilligung, wobei den Behörden ein weiter Ermessensspielraum zukommt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(EMARK 2004 Nr. 21 E. 2b S. 137, EMARK 2004 Nr. 20 E. 3b S. 130 f., EMARK 1997 Nr. 15 E. 2f S. 131 f.).</w:t>
      </w:r>
    </w:p>
    <w:p>
      <w:r>
        <w:rPr>
          <w:b/>
        </w:rPr>
        <w:t>E. 8.1</w:t>
      </w:r>
    </w:p>
    <w:p>
      <w:r>
        <w:t>Die Beschwerdeführerin begründete ihr Asylgesuch im Wesentlichen damit, sie fürchte sich aufgrund der früheren Inhaftierung ihres Bruders C._______ und der anhaltenden behördlichen Suche nach ihr selbst davor, ebenfalls behördlich verhaftet und unter dem Verdacht, etwas mit den LTTE zu tun zu haben, inhaftiert zu werden. Aufgrund der Aktenlage ist jedoch mit dem BFM davon auszugehen, dass keine hinreichenden Anhaltspunkte dafür bestehen, dass der Beschwerdeführerin wegen der früheren Inhaftierung ihres Bruders C._______ sowie angeblich in ihrer Person selbst begründeter behördlicher Verdachtsmomente, für die LTTE gearbeitet zu haben, mit erheblicher Wahrscheinlichkeit in Zukunft asylbeachtliche Verfolgungsmassnahmen des srilankischen Staates drohen. Zwar kann grundsätzlich nicht ausgeschlossen werden, dass die Beschwerdeführerin und ihr Bruder F._______ tatsächlich nach der Festnahme und Inhaftierung ihres Bruders C._______ im September 2008 wiederholt behördlich angegangen und über diesen sowie allfällige eigene politische Tätigkeiten zugunsten der LTTE befragt worden sind. Diese behördlichen Massnahmen dienten indessen - wie dessen nachträgliche Freilassung im April 2009 belegt - primär dazu, allfällige Verdachtsmomente wider ihren Bruder C._______ zu erhärten beziehungsweise zu entkräften, weshalb es vorliegend bereits an einem asylbeachtlichen Verfolgungsmotiv fehlt. Die bedingungslose Entlassung von C._______ im April 2009 weist ferner darauf hin, dass ihn die heimatlichen Behörden damals nicht mehr verdächtigt haben, mit den LTTE zusammengearbeitet zu haben, weshalb auch eine entsprechende behördliche Behelligungen der Beschwerdeführerin zumindest von diesem Zeitpunkt an als nicht glaubhaft erscheinen. Darüber hinaus ist nicht ersichtlich, welche anderweitigen Gründe die srilankischen Behörden dazu verhalten haben könnten, nach der Freilassung von C._______ weiterhin intensiv nach der Beschwerdeführerin zu suchen, arbeitete sie doch eigenen Angaben zufolge nie für die LTTE. Dass sie allein aufgrund des - unbegründeten - behördlichen Verdachts, während ihres früheren Aufenthalts in B._______ wegen ihrer Ausbildung als D._______ Militante der LTTE verarztet zu haben, bis heute (und über den Zeitpunkt des landesweiten Siegs der srilankischen Armee über die LTTE Mitte Mai 2009 hinaus) behördlich gesucht werde, vermag nicht zu überzeugen. Bezüglich weiterer, gegen die Glaubhaftigkeit einer nachhaltigen behördlichen Suche nach der Person der Beschwerdeführerin sprechender Umstände kann vollumfänglich auf die Erwägungen in der angefochtenen Verfügung verwiesen werden.</w:t>
      </w:r>
    </w:p>
    <w:p>
      <w:r>
        <w:rPr>
          <w:b/>
        </w:rPr>
        <w:t>E. 8.2</w:t>
      </w:r>
    </w:p>
    <w:p>
      <w:r>
        <w:t>Soweit die Beschwerdeführer zumindest sinngemäss die Befürchtung äussert, aufgrund ihrer Herkunft aus B._______ in Colombo (oder sonstwo im Süden seines Heimatlandes) verhaftet werden zu können (vgl. Beschwerde Absatz 3, 3 Satz), ist Folgendes festzuhalten: Das Bundesverwaltungsgericht hat im Grundsatzurteil BVGE 2008/2 eine Lageanalyse betreffend Sri Lanka vorgenommen und gelangte dabei zum Schluss, dass sich die allgemeine Sicherheitslage seit Januar 2006 insgesamt, insbesondere aber in Colombo kontinuierlich verschlechtert habe. Nach Ergehen dieses Urteils am 14. Februar 2008 hat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namentlich junge Männer Gefahr, überall und jederzeit von srilankischem Sicherheitspersonal einer minutiösen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w:t>
      </w:r>
    </w:p>
    <w:p>
      <w:r>
        <w:rPr>
          <w:b/>
        </w:rPr>
        <w:t>E. 8.3</w:t>
      </w:r>
    </w:p>
    <w:p>
      <w:r>
        <w:t>Zusammenfassend ist festzustellen, dass es der Beschwerdeführerin nicht gelungen ist, eine Verfolgung im Sinne von Art. 3 AsylG glaubhaft zu machen. Es erübrigt sich daher, auf weitere Vorbringen in der Beschwerde einzugehen, da diese keine neuen Begründungselemente enthalten, welche geeignet wären, die Einschätzung des BFM entscheidend zu relativieren. Das BFM hat demnach der Beschwerdeführerin zu Recht die Einreise in die Schweiz verweigert beziehungsweise deren Asylgesuch abgelehnt.</w:t>
      </w:r>
    </w:p>
    <w:p>
      <w:r>
        <w:rPr>
          <w:b/>
        </w:rPr>
        <w:t>E. 8.4</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der Beschwerdeführerin aufzuerlegen (Art. 63 Abs. 1 VwVG). Aus verwaltungsökonomischen Gründen und in Anwendung von Art. 63 Abs. 1 in fine VwVG und Art. 2 und 3 Bst. a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