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D-7601/2007 vom 16. November 2010</w:t>
      </w:r>
    </w:p>
    <w:p>
      <w:r>
        <w:t>Bundesverwaltungsgericht, 2010-11-16, DE</w:t>
      </w:r>
    </w:p>
    <w:p>
      <w:r>
        <w:rPr>
          <w:b/>
        </w:rPr>
        <w:t xml:space="preserve">Quelle: </w:t>
      </w:r>
      <w:r>
        <w:t>https://mcp.opencaselaw.ch/entscheid/bvger_D-7601_2007</w:t>
      </w:r>
    </w:p>
    <w:p>
      <w:r>
        <w:t>FR: TAF D-7601/2007 du 16 novembre 2010</w:t>
      </w:r>
    </w:p>
    <w:p>
      <w:r>
        <w:t>IT: TAF D-7601/2007 del 16 novembre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Über offensichtlich begründete Beschwerden wird in einzelrichterlicher Zuständigkeit mit Zustimmung eines zweiten Richters beziehungsweise einer zweiten Richterin entschieden (Art. 111 Bst. e AsylG). Vorliegend handelt es sich um eine solche (vgl. nachstehende Ausführungen), weshalb der Beschwerdeentscheid nur summarisch zu begründen ist (Art. 111a Abs. 2 AsylG).</w:t>
      </w:r>
    </w:p>
    <w:p>
      <w:r>
        <w:rPr>
          <w:b/>
        </w:rPr>
        <w:t>E. 2</w:t>
      </w:r>
    </w:p>
    <w:p>
      <w:r>
        <w:t>Der Beschwerdeführer rügt in seiner Rechtsmitteleingabe im Wesentlichen, die Vorinstanz habe das zweite Asylgesuch angesichts der geltend gemachten exilpolitischen Tätigkeiten zu Unrecht als aussichtslos qualifiziert und zu Unrecht einen Gebührenvorschuss verlangt. Er habe seine Eingabe vom 25. Januar 2007 mit subjektiven Nachfluchtgründen begründet, wobei diese nicht bloss in den Raum gestellt worden seien, sondern es sei mit einschlägigem Bildmaterial und anderen Beweismitteln eine konkrete Vorstellung davon vermittelt worden, worin seine exilpolitischen Tätigkeiten in der Schweiz bestehen würden. Es seien somit im zweiten Asylgesuch Hinweise geltend gemacht worden, welche geeignet seien, die Flüchtlingseigenschaft zu begründen beziehungsweise auf das Vorliegen eines Wegweisungshindernisses deuteten. Gemäss Rechtsprechung (Entscheidungen und Mitteilungen der Schweizerischen Asylrekurskommission [EMARK] 2006 Nr. 20 E. 3.1) sei es bei einem zweiten Asylgesuch, in welchem solche Hinweise vorgebracht würden, nicht statthaft, in Anwendung von Art. 32 Abs. 2 Bst. e AsylG einen Nichteintretensentscheid zu fällen. Ferner sei die Vorinstanz verpflichtet, vor dem Entscheid über das erneute Begehren um Feststellung der Flüchtlingseigenschaft eine Anhörung gemäss Art. 29 und 30 AsylG durchzuführen. Ein ungerechtfertigter Verzicht auf eine vorgängige Anhörung komme einer Verletzung des rechtlichen Gehörs gleich. Gerade um das Agitationspotenzial und die politische Überzeugung eines Asylgesuchstellers zu erfahren, sei eine ordentliche Anhörung unabdingbar. Zudem müsse anhand näherer Abklärungen erörtert werden, ob und mit welcher Erfolgsaussicht seine Erkrankung in Äthiopien therapiert werden könne.</w:t>
      </w:r>
    </w:p>
    <w:p>
      <w:r>
        <w:rPr>
          <w:b/>
        </w:rPr>
        <w:t>E. 3</w:t>
      </w:r>
    </w:p>
    <w:p>
      <w:r>
        <w:t>Im Folgenden ist zu prüfen, ob die Vorinstanz das zweite Asylgesuch des Beschwerdeführers zu Recht als aussichtslos qualifiziert und dem-zufolge einen Gebührenvorschuss verlangt hat.</w:t>
      </w:r>
    </w:p>
    <w:p>
      <w:r>
        <w:rPr>
          <w:b/>
        </w:rPr>
        <w:t>E. 3.1</w:t>
      </w:r>
    </w:p>
    <w:p>
      <w:r>
        <w:t>Stellt eine Person nach rechtskräftigem Abschluss ihres Asyl- und Wegweisungsverfahrens oder nach Rückzug ihres Asylgesuches erneut ein Asylgesuch, ohne dass sie sich zwischenzeitlich im Heimat- oder Herkunftsstaat aufgehalten hat, so kann das Bundesamt von der gesuchstellenden Person einen Gebührenvorschuss in der Höhe der mutmasslichen Verfahrenskosten verlangen. Es setzt zu dessen Leistung unter Androhung des Nichteintretens eine angemessene Frist. Auf einen Gebührenvorschuss wird auf entsprechendes Gesuch hin insbesondere verzichtet, wenn die gesuchstellende Person bedürftig ist und ihre Begehren nicht von vornherein aussichtslos erscheinen (vgl. Art. 17b Abs. 4 AsylG).</w:t>
      </w:r>
    </w:p>
    <w:p>
      <w:r>
        <w:rPr>
          <w:b/>
        </w:rPr>
        <w:t>E. 3.2</w:t>
      </w:r>
    </w:p>
    <w:p>
      <w:r>
        <w:t>Als aussichtslos sind nach der Rechtsprechung jene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128 I 225 E. 2.5.3 S. 236 mit Hinweis). Für die Beurteilung der Prozesschancen ist eine summarische Prüfung vorzunehmen.</w:t>
      </w:r>
    </w:p>
    <w:p>
      <w:r>
        <w:rPr>
          <w:b/>
        </w:rPr>
        <w:t>E. 3.3</w:t>
      </w:r>
    </w:p>
    <w:p>
      <w:r>
        <w:t>In casu wurden im Gesuch vom 30. August 2007 im Wesentlichen subjektive Nachfluchtgründe geltend gemacht. Dabei wurde insbesondere ausgeführt, der Beschwerdeführer sei aktives Mitglied sowohl der B._______ als auch der C._______ und habe an mehreren exilpolitischen Veranstaltungen teilgenommen. Zur Stützung dieser Vorbringen wurden dem zweiten Asylgesuch - wie bereits vorstehend erwähnt - diverse Beweismittel (Auflistung Beweismittel) beigelegt. Damit wurden - auch wenn entgegen der Beschwerdebegründung kein Bildmaterial eingereicht wurde - die geltend gemachten Nachfluchtgründe nicht bloss behauptet, sondern relativ substanziiert begründet und mittels Beweismitteln dokumentiert. Bezüglich des geltend gemachten Engagements für die B._______ ist sodann nach den Erkenntnissen des Bundesverwaltungsgerichts davon auszugehen, dass die äthiopischen Sicherheitsbehörden die Aktivitäten der jeweiligen Exilgemeinschaften relativ intensiv - seit den Wahlen im Jahr 2005 noch verstärkt - überwachen und diese ausserdem in umfangreichen elektronischen Datenbanken registrieren. Deshalb besteht Grund zur Annahme, diese Datenbanken enthielten nicht nur Informationen über führende politische Aktivisten in der Diaspora, sondern würden auch einfache Mitglieder und Sympathisanten der Oppositionsparteien und sogar Personen, die nur zum Zwecke der Information an politischen Veranstaltungen der Opposition teilgenommen hätten, erfassen. Vor diesem Hintergrund kann die Frage, ob der Beschwerdeführer aufgrund seiner exilpolitischen Aktivität im Falle seiner Rückkehr nach Äthiopien einer flüchtlingsrechtlich relevanten Verfolgungsgefahr ausgesetzt wäre, nicht von vornherein verneint werden, sondern bedarf einer vertieften Würdigung. Das zweite Asylgesuch des Beschwerdeführers kann unter diesen Umständen nicht als aussichtslos bezeichnet werden.</w:t>
      </w:r>
    </w:p>
    <w:p>
      <w:r>
        <w:rPr>
          <w:b/>
        </w:rPr>
        <w:t>E. 3.4</w:t>
      </w:r>
    </w:p>
    <w:p>
      <w:r>
        <w:t>Zusammenfassend ergibt sich, dass das BFM die Vorbringen des Beschwerdeführers zu Unrecht als aussichtslos bezeichnet und einen Gebührenvorschuss verlangt hat. Demzufolge wurde auch zu Unrecht wegen Nichtbezahlens des Gebührenvorschusses auf das zweite Asylgesuch des Beschwerdeführers nicht eingetreten. Gestützt auf die vorstehenden Erwägungen hätte das BFM im vorliegenden Fall vielmehr auf die Erhebung eines Gebührenvorschusses verzichten und über das zweite Asylgesuch - gegebenenfalls nach durchgeführter Anhörung (vgl. EMARK 2006 Nr. 20) - materiell entscheiden müssen.</w:t>
      </w:r>
    </w:p>
    <w:p>
      <w:r>
        <w:rPr>
          <w:b/>
        </w:rPr>
        <w:t>E. 4</w:t>
      </w:r>
    </w:p>
    <w:p>
      <w:r>
        <w:t>Die Beschwerde ist aufgrund des Gesagten insoweit gutzuheissen, als die angefochtene Zwischenverfügung vom 4. September 2007 (Feststellung der Aussichtslosigkeit und Erhebung eines Gebührenvorschusses) sowie die darauf basierende Verfügung vom 10. Oktober 2007 (Nichteintreten auf das zweite Asylgesuch infolge Nichtbezahlens des Gebührenvorschusses) aufzuheben sind und die Sache in Anwendung von Art. 61 Abs. 1 in fine VwVG zur Wiederaufnahme des Asylverfahrens im Sinne der Erwägungen an die Vorinstanz zurückzuweisen ist. Bei diesem Ausgang des Verfahrens kann darauf verzichtet werden, auf die übrigen in der Beschwerde erhobenen Rügen und materiellen Ausführungen einzugehen.</w:t>
      </w:r>
    </w:p>
    <w:p>
      <w:r>
        <w:rPr>
          <w:b/>
        </w:rPr>
        <w:t>E. 5.1</w:t>
      </w:r>
    </w:p>
    <w:p>
      <w:r>
        <w:t>Bei diesem Ausgang des Verfahrens sind keine Verfahrenskosten aufzuerlegen (Art. 63 Abs. 1 und 2 VwVG). Das in der Rechtsmitteleingabe gestellte Gesuch um Gewährung der unentgeltlichen Prozessführung im Sinne von Art. 65 Abs. 1 VwVG ist daher gegenstandslos geworden.</w:t>
      </w:r>
    </w:p>
    <w:p>
      <w:r>
        <w:rPr>
          <w:b/>
        </w:rPr>
        <w:t>E. 5.2</w:t>
      </w:r>
    </w:p>
    <w:p>
      <w:r>
        <w:t>Dem obsiegenden Beschwerdeführer ist in Anwendung von Art. 64 Abs. 1 VwVG und Art. 7 des Reglements vom 21. Februar 2008 über die Kosten und Entschädigungen vor dem Bundesverwaltungsgericht (VGKE, SR 173.320.2) zulasten der Vorinstanz eine Parteientschädigung für die ihm erwachsenen notwendigen und verhältnismässig hohen Kosten zuzusprechen. Es wurde keine Kostennote zu den Akten gereicht. Der notwendige Vertretungsaufwand lässt sich indes aufgrund der Aktenlage zuverlässig abschätzen, weshalb auf die Einholung einer solchen verzichtet wird (vgl. Art. 14 Abs. 2 in fine VGKE). Gestützt auf die in Betracht zu ziehenden Bemessungsfaktoren (vgl. Art. 8 ff. VGKE) ist die vom BFM zu entrichtende Parteientschädigung von Amtes wegen auf pauschal Fr. 700.-- (inkl. Auslagen und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