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D-7599/2010 vom 2. November 2010</w:t>
      </w:r>
    </w:p>
    <w:p>
      <w:r>
        <w:t>Bundesverwaltungsgericht, 2010-11-02, DE</w:t>
      </w:r>
    </w:p>
    <w:p>
      <w:r>
        <w:rPr>
          <w:b/>
        </w:rPr>
        <w:t xml:space="preserve">Quelle: </w:t>
      </w:r>
      <w:r>
        <w:t>https://mcp.opencaselaw.ch/entscheid/bvger_D-7599_2010</w:t>
      </w:r>
    </w:p>
    <w:p>
      <w:r>
        <w:t>FR: TAF D-7599/2010 du 2 novembre 2010</w:t>
      </w:r>
    </w:p>
    <w:p>
      <w:r>
        <w:t>IT: TAF D-7599/2010 del 2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 Das Verfahren richtet sich nach dem VwVG, dem VGG und dem BGG, soweit das AsylG nichts anderes bestimmt (Art. 37 VGG und Art. 6 AsylG).</w:t>
      </w:r>
    </w:p>
    <w:p>
      <w:r>
        <w:rPr>
          <w:b/>
        </w:rPr>
        <w:t>E. 1.2</w:t>
      </w:r>
    </w:p>
    <w:p>
      <w:r>
        <w:t>Die angefochtene Verfügung wurde am 20. September 2010 zugestellt. Die Beschwerde traf gemäss Eingangsstempel am 20. Oktober 2010 beim BFM ein und ist mithin rechtzeitig erfolgt.</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Die Schweiz gewährt Flüchtlingen unter Vorbehalt von Ausschlussgründen auf Gesuch hin Asyl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im Weiteren voraus, dass die betroffene Person in ihrem Heimatland keinen ausreichenden Schutz finden kann (vgl. EMARK 2005 Nr. 21 a.a.O.).</w:t>
      </w:r>
    </w:p>
    <w:p>
      <w:r>
        <w:rPr>
          <w:b/>
        </w:rPr>
        <w:t>E. 6.1</w:t>
      </w:r>
    </w:p>
    <w:p>
      <w:r>
        <w:t>Das BFM führte zur Begründung seiner Verfügung im Wesentlichen Folgendes aus: Die Tatsache, dass der Beschwerdeführer aus der Haft entlassen worden sei, lasse darauf schliessen, dass keine konkreten Verdachtsmomente gegen ihn vorgelegen hätten beziehungsweise kein weiteres Verfolgungsinteresse seitens der Behörden gegen ihn bestanden habe, ansonsten er nicht ohne Auflagen freigesprochen worden wäre. Seinen Angaben zufolge sei er zudem nie Mitglied der LTTE gewesen und habe sich auch sonst nicht politisch engagiert. Deshalb sei nicht davon auszugehen, dass die sri-lankischen Behörden heute noch ein Verfolgungsinteresse an seiner Person hätten. Zudem müssten die Vorbringen des Beschwerdeführers vor dem Hintergrund der allgemein angespannten Situation betrachtet werden, welche während des Bürgerkriegs geherrscht habe. Diese stelle sich jedoch nunmehr anders dar, nachdem der Krieg zwischen der sri-lankischen Regierung und den separatistischen LTTE im Mai 2009 mit der Niederlage der Letzteren zu Ende gegangen sei und sich in der Folge die Sicherheits- und Menschenrechtslage verbessert habe. Vor diesem Hintergrund sei ein akute Gefährdung des Beschwerdeführers bei einem Verbleib im Heimatland auszuschiessen und habe dieser - bei einer objektivierten Betrachtungsweise - nicht zu befürchten, künftig staatlichen Verfolgungsmassnahmen ausgesetzt zu sein. Daher sei er auf den Schutz der Schweiz nicht angewiesen. Daran vermöchten die eingereichten Dokumente nichts zu ändern, zumal sie lediglich die Vorbringen des Beschwerdeführers stützten, deren Glaubhaftigkeit nicht in Frage gestellt werde.</w:t>
      </w:r>
    </w:p>
    <w:p>
      <w:r>
        <w:rPr>
          <w:b/>
        </w:rPr>
        <w:t>E. 6.2</w:t>
      </w:r>
    </w:p>
    <w:p>
      <w:r>
        <w:t>Die Beschwerde beschränkt sich sinngemäss auf eine Wiederholung der bisherigen Vorbringen. Die zusammen mit der Beschwerde eingereichten Beweismittel waren mit Ausnahme einer Übersetzung eines Dokuments, (...) bereits im erstinstanzlichen Verfahren eingereicht worden.</w:t>
      </w:r>
    </w:p>
    <w:p>
      <w:r>
        <w:rPr>
          <w:b/>
        </w:rPr>
        <w:t>E. 6.3</w:t>
      </w:r>
    </w:p>
    <w:p>
      <w:r>
        <w:t>Eine Überprüfung der Akten ergibt, dass sich die Erwägungen in der angefochtenen Verfügung als zutreffend erweisen. Mithin wurden die Vorbringen des Beschwerdeführers zu Recht als den Anforderungen an eine Verfolgung im Sinne von Art. 3 AsylG nicht genügend qualifiziert. Diesbezüglich wird auf E. 6.1 verwiesen. Daran vermögen weder die Ausführungen in der Beschwerde noch das Dokument (...) etwas zu ändern, zumal die Glaubhaftigkeit der geltend gemachten Inhaftierung nicht in Frage gestellt wird. Das Bundesverwaltungsgericht geht mit der Vorinstanz darin einig, dass nach der bedingungslosen Freilassung des Beschwerdeführers mangels Beweise durch (...) aktuell keine konkreten Hinweise bestehen, welche zur begründeten Annahme berechtigen würden, der Beschwerdeführer könnte mit beachtlicher Wahrscheinlichkeit und in absehbarer Zukunft erneut einer Verfolgung ausgesetzt sein. Was die für den Zeitraum nach der Freilassung geltend gemachten anonymen Telefonanrufe anbelangt, wonach der Beschwerdeführer weiterhin beobachtet werde, ist Folgendes festzuhalten: Das Bundesverwaltungsgericht hat letztmals im Grundsatzurteil BVGE 2008/2 eine Lageanalyse betreffend Sri Lanka vorgenommen und gelangte damals zum Schluss, dass sich die allgemeine Sicherheitslage seit Januar 2006 insgesamt, insbesondere aber in Colombo, kontinuierlich verschlechtert habe. Nach Ergehen dieses Urteils am 14. Februar 2008 hat sich der bewaffnete Konflikt zwischen der Regierung und den LTTE zwar weiter zugespitzt. Im Anschluss an die Rückeroberung des letzten von den LTTE kontrollierten Gebietes im Raum Mullaitivu wurde indes am 18. Mai 2009 seitens der Regierung der endgültige Sieg über die LTTE verkündet und der Bürgerkrieg offiziell für beendet erklärt. Auf diese Niederlage der LTTE hin haben die srilankischen Behörden - namentlich im Grossraum Colombo - die Sicherheitsmassnahmen zwar immer noch nicht gelockert, weshalb insbesondere junge Männer Gefahr laufen können, überall und jederzeit von sri-lankischem Sicherheitspersonal einer Personenkontrolle unterzogen und öfters auch für eingehendere Abklärungen auf den Posten mitgenommen oder in ein Armeecamp beordert zu werden. Diese so genannten "Anti-Terrormassnahmen" werden im Raum Colombo - unbesehen der Rügen des Supreme Court - zwar immer noch als repressives Instrument gegen befürchtete Infiltrationen tamilischer Separatisten angewandt, doch kommt diesen Behelligungen, denen ein Grossteil der tamilischen Bevölkerung im ganzen Land und ebenso auch in Colombo ausgesetzt ist, aufgrund mangelnder Intensität indes kein Verfolgungscharakter im Sinne von Art. 3 AsylG zu.</w:t>
      </w:r>
    </w:p>
    <w:p>
      <w:r>
        <w:rPr>
          <w:b/>
        </w:rPr>
        <w:t>E. 6.4</w:t>
      </w:r>
    </w:p>
    <w:p>
      <w:r>
        <w:t>Zusammenfassend ist festzustellen, dass es dem Beschwerdeführer nicht gelungen ist, eine aktuelle Verfolgung im Sinne von Art. 3 AsylG darzulegen. Es erübrigt sich, auf weitere Vorbringen in der Beschwerde einzugehen, da diese keine neuen Begründungselemente enthalten, welche geeignet wären, die Einschätzung des BFM entscheidend zu relativieren. Das BFM hat demnach dem Beschwerdeführer zu Recht die Einreise in die Schweiz verweigert beziehungsweise dessen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