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D-7597/2007 vom 14. April 2011</w:t>
      </w:r>
    </w:p>
    <w:p>
      <w:r>
        <w:t>Bundesverwaltungsgericht, 2011-04-14, FR</w:t>
      </w:r>
    </w:p>
    <w:p>
      <w:r>
        <w:rPr>
          <w:b/>
        </w:rPr>
        <w:t xml:space="preserve">Quelle: </w:t>
      </w:r>
      <w:r>
        <w:t>https://mcp.opencaselaw.ch/entscheid/bvger_D-7597_2007</w:t>
      </w:r>
    </w:p>
    <w:p>
      <w:r>
        <w:t>FR: TAF D-7597/2007 du 14 avril 2011</w:t>
      </w:r>
    </w:p>
    <w:p>
      <w:r>
        <w:t>IT: TAF D-7597/2007 del 14 aprile 2011</w:t>
      </w:r>
    </w:p>
    <w:p>
      <w:pPr>
        <w:pStyle w:val="Heading2"/>
      </w:pPr>
      <w:r>
        <w:t>Regeste</w:t>
      </w:r>
    </w:p>
    <w:p>
      <w:r>
        <w:t>Asile et renvoi (recours réexamen)</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du 20 décembre 1968 sur la procédure administrative (PA, RS 172.021) prises par les autorités mentionnées à l'art. 33 LTAF (art. 31 LTAF).</w:t>
      </w:r>
    </w:p>
    <w:p>
      <w:r>
        <w:rPr>
          <w:b/>
        </w:rPr>
        <w:t>E. 1.2</w:t>
      </w:r>
    </w:p>
    <w:p>
      <w:r>
        <w:t>En particulier, les décisions rendues par l'ODM concernant l'asile, y compris en matière de réexamen,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w:t>
      </w:r>
    </w:p>
    <w:p>
      <w:r>
        <w:rPr>
          <w:b/>
        </w:rPr>
        <w:t>E. 1.3</w:t>
      </w:r>
    </w:p>
    <w:p>
      <w:r>
        <w:t>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celle de l'autorité intimée (ATAF 2007/41 consid. 2 p. 529s.).</w:t>
      </w:r>
    </w:p>
    <w:p>
      <w:r>
        <w:rPr>
          <w:b/>
        </w:rPr>
        <w:t>E. 2</w:t>
      </w:r>
    </w:p>
    <w:p>
      <w:r>
        <w:t>Les recourants ont qualité pour recourir. Présenté dans la forme et dans les délais prescrits par la loi, le recours est recevable (art. 48 et 52 PA et 108 al. 1 LAsi).</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(ATAF 2010/27 consid. 2.1 ;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(ATAF 2010/27 consid. 2.1 ; arrêt du Tribunal fédéral 2A.271/2004 consid. 3.1 du 7 octobre 2004).</w:t>
      </w:r>
    </w:p>
    <w:p>
      <w:r>
        <w:rPr>
          <w:b/>
        </w:rPr>
        <w:t>E. 3.3</w:t>
      </w:r>
    </w:p>
    <w:p>
      <w:r>
        <w:t>Au surplus, une demande de réexamen, à l'instar des demandes de révision, ne saurait servir à remettre continuellement en cause des décisions administratives entrées en force de chose jugée (arrêt du Tribunal fédéral 2A.271/2004 consid. 3.1 [et jurisp. cit.] du 7 octobre 2004 ; cf. également dans ce sens JICRA 2003 n° 17 consid. 2b p. 104 [et jurisp. cit.]).</w:t>
      </w:r>
    </w:p>
    <w:p>
      <w:r>
        <w:rPr>
          <w:b/>
        </w:rPr>
        <w:t>E. 4.1</w:t>
      </w:r>
    </w:p>
    <w:p>
      <w:r>
        <w:t>En l'espèce, les recourants ont invoqué les problèmes médicaux d'ordre psychique de l'intéressée, respectivement leur aggravation depuis la décision sur recours du 19 juin 2006, et ont conclu à l'inexigibilité de l'exécution de la mesure de renvoi et à son remplacement par une admission provisoire.</w:t>
      </w:r>
    </w:p>
    <w:p>
      <w:r>
        <w:rPr>
          <w:b/>
        </w:rPr>
        <w:t>E. 4.2</w:t>
      </w:r>
    </w:p>
    <w:p>
      <w:r>
        <w:t>Il convient donc de déterminer si ces motifs médicaux constituent des faits nouveaux importants tels que définis ci-dessus, de nature à remettre en cause l'appréciation antérieure en matière d'exigibilité de l'exécution du renvoi.</w:t>
      </w:r>
    </w:p>
    <w:p>
      <w:r>
        <w:rPr>
          <w:b/>
        </w:rPr>
        <w:t>E. 5.1</w:t>
      </w:r>
    </w:p>
    <w:p>
      <w:r>
        <w:t>Les certificats médicaux versés au dossier font clairement état des affections psychiques dont souffre l'intéressée, à savoir un PTSD chronique (F43.1), une modification durable de la personnalité après une expérience de catastrophe (F62.0) et un trouble dépressif récurent avec idéation suicidaire (F33.2) (cf. rapport médical du [...]). Si ce diagnostic est sensiblement le même que celui posé en procédure ordinaire (cf. rapport médical du [...]), il y a toutefois lieu de retenir que la situation s'est malgré tout péjorée après le 19 juin 2006, compte tenu des nombreuses tentatives de suicide auxquelles a procédé la recourante et qui ont nécessité son hospitalisation ou des consultations en urgence.</w:t>
      </w:r>
    </w:p>
    <w:p>
      <w:r>
        <w:rPr>
          <w:b/>
        </w:rPr>
        <w:t>E. 5.2</w:t>
      </w:r>
    </w:p>
    <w:p>
      <w:r>
        <w:t>Selon l'art. 44 al. 2 LAsi, en relation avec l'art. 83 al. 4 loi fédérale du 16 décembre 2005 sur les étrangers (LEtr, RS 142.20),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5.3</w:t>
      </w:r>
    </w:p>
    <w:p>
      <w:r>
        <w:t>S'agissant des personnes en traitement médical en Suisse, l'exécution du renvoi ne devient inexigible que dans la mesure où elles pourraient ne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JICRA 1993 n° 38 p. 274s.).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JICRA 2003 n° 24 p. 158).</w:t>
      </w:r>
    </w:p>
    <w:p>
      <w:r>
        <w:rPr>
          <w:b/>
        </w:rPr>
        <w:t>E. 5.4</w:t>
      </w:r>
    </w:p>
    <w:p>
      <w:r>
        <w:t>En ce qui concerne les possibilités de traitement en Bosnie et Herzégovine, le Tribunal, a procédé à une analyse détaillée de la situation médicale dans ce pays (cf. arrêt du Tribunal administratif fédéral D-7122/2006 du 3 juin 2008 consid. 8.3.3 à 8.3.5), mettant ainsi à jour une précédente analyse effectuée par la Commission (cf. JICRA 2002 n°12 p. 102ss).</w:t>
      </w:r>
    </w:p>
    <w:p>
      <w:r>
        <w:rPr>
          <w:b/>
        </w:rPr>
        <w:t>E. 5.4.1</w:t>
      </w:r>
    </w:p>
    <w:p>
      <w:r>
        <w:t>D'abord, s'il est exact que le système de santé est théoriquement garanti pour tous les citoyens bosniaques et que la grande majorité des traitements est couverte par l'assurance-maladie, la réalité est toutefois bien différente : le pays manque de spécialistes formés et le système d'assurance-maladie doit faire face à des problèmes insurmontables liés à une situation socio-économique mauvaise, un financement insuffisant et des besoins énormes de la population en matière de soins. Le système de santé bosniaque, censé être garanti pour tous, se heurte en outre toujours au fait qu'il est fragmenté et décentralisé. Ainsi, la situation est particulièrement complexe pour les personnes qui retournent dans la Fédération croato-musulmane où chacun des dix cantons définit les catégories de personnes qui peuvent contracter une assurance-maladie, et les conditions pour ce faire. Les rapatriés doivent en particulier faire face à une quantité de démarches administratives pour pouvoir obtenir une telle assurance, en devant notamment s'inscrire au préalable, et dans un délai défini, auprès du Bureau de l'emploi. Faute de temps ou d'information, bien des personnes rapatriées manqueraient ainsi l'enregistrement auprès de ce bureau.</w:t>
      </w:r>
    </w:p>
    <w:p>
      <w:r>
        <w:rPr>
          <w:b/>
        </w:rPr>
        <w:t>E. 5.4.2</w:t>
      </w:r>
    </w:p>
    <w:p>
      <w:r>
        <w:t>Les difficultés pratiques liées à l'accès à l'assurance-maladie ayant été précisées, se pose ensuite la question des prestations qu'elle offre, tant du point de vue des traitements médicamenteux que des soins prodigués. Et là encore, les systèmes diffèrent d'un canton à l'autre, dans la mesure où chacun des dix cantons de la Fédération possède sa propre liste officielle des médicaments remboursés (totalement ou en partie) par le fonds d'assurance. Quant aux soins donnés dans le cadre du système public, ils ne sont plus gratuits, le patient devant payer une participation, y compris pour son hospitalisation, à l'exception toutefois de certaines catégories, comme par exemple les enfants, les femmes enceintes ou encore les bénéficiaires de prestations sociales. De surcroît, la couverture des soins n'est possible que dans le canton où les cotisations ont été payées.</w:t>
      </w:r>
    </w:p>
    <w:p>
      <w:r>
        <w:rPr>
          <w:b/>
        </w:rPr>
        <w:t>E. 5.4.3</w:t>
      </w:r>
    </w:p>
    <w:p>
      <w:r>
        <w:t>Partant, le Tribunal constate que les difficultés liées à l'intégration au système de santé bosniaque - et plus particulièrement dans la Fédération - ainsi que la question des prestations offertes ne se sont pas modifiées depuis la dernière analyse effectuée par la Commission en 2002. Ainsi, le constat selon lequel une personne malade qui ne peut se faire inscrire auprès des autorités communales sera forcée de financer elle-même les soins qui lui sont nécessaires est toujours d'actualité (cf. JICRA 2002 n° 12 consid. 10 let. d p. 106). Il en va de même s'agissant de la constatation selon laquelle l'inscription officielle auprès des autorités de sa commune - et donc l'accès à l'assurance-maladie - ne signifie pas pour autant que la personne malade ne devra pas supporter les frais occasionnés par des traitements médicaux importants. En outre, et malgré plusieurs tentatives des autorités bosniaques pour modifier cet état de faits, la couverture des soins par l'assurance-maladie est toujours limitée à la région (soit l'entité ou le canton) où la personne est enregistrée. Cet inconvénient a donc pour conséquence que, si un traitement n'est pas disponible dans le canton où la personne concernée est enregistrée, et qu'elle doit se rendre dans un autre canton, voire à l'étranger, pour se faire soigner, la totalité des frais y afférents seront à sa charge.</w:t>
      </w:r>
    </w:p>
    <w:p>
      <w:r>
        <w:rPr>
          <w:b/>
        </w:rPr>
        <w:t>E. 5.4.4</w:t>
      </w:r>
    </w:p>
    <w:p>
      <w:r>
        <w:t>En ce qui concerne l'accès aux soins, en particulier pour les personnes souffrant de troubles psychiques graves, la situation n'est actuellement toujours pas satisfaisante. Les structures adéquates sont rares alors que les besoins sont continuellement en augmentation. Les cliniques psychiatriques sont plutôt orientées vers le traitement des maladies psychiatriques classiques et fondées sur les traitements psychopharmacologiques. Il arrive ainsi fréquemment que des personnes atteintes de PTSD se voient prescrire uniquement un traitement médicamenteux, alors qu'une psychothérapie eût été nécessaire. En résumé, s'agissant des possibilités de traitement des personnes traumatisées en Bosnie et Herzégovine, s'il existe certes des institutions et du personnel spécialisés ainsi que des médicaments, voire des thérapies,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w:t>
      </w:r>
    </w:p>
    <w:p>
      <w:r>
        <w:rPr>
          <w:b/>
        </w:rPr>
        <w:t>E. 5.4.5</w:t>
      </w:r>
    </w:p>
    <w:p>
      <w:r>
        <w:t>En conclusion, pour les personnes atteintes de troubles psychiques d'ordre traumatique d'une telle intensité qu'elles ont impérativement besoin d'un suivi médical spécifique important et de longue durée, les possibilités de traitement sont actuellement toujours et encore aléatoires et les frais en découlant sont en partie à leur charge. La situation, sur ce point également, n'a pas non plus évolué de manière significative depuis l'analyse effectuée par la Commission en 2002.</w:t>
      </w:r>
    </w:p>
    <w:p>
      <w:r>
        <w:rPr>
          <w:b/>
        </w:rPr>
        <w:t>E. 5.5</w:t>
      </w:r>
    </w:p>
    <w:p>
      <w:r>
        <w:t>En l'occurrence, les affections psychiques dont souffre l'intéressée depuis de nombreuses années, telles qu'attestées par les rapports médicaux précités, sont graves, relèvent d'une situation clinique chronique et sérieuse, et nécessitent une prise en charge intensive. Son médecin traitant relève qu'elle est sujette à des crises en partie psychotiques, particulièrement en situation de stress, et considère qu'elle n'est pas en état de voyager (cf. rapport médical du [...]). En cas de renvoi, il est indispensable que les traitements initiés en Suisse puissent être poursuivis sur place. Un arrêt de ceux-ci, voire des traitements inadéquats, pourraient entraîner selon les médecins traitants, de nombreuses complications, avec un risque majeur de raptus et de passage à l'acte auto-agressif suicidaire. Or, au vu de la situation médicale prévalant en Bosnie et Herzégovine, telle que décrite ci-auparavant, et même si l'on peut admettre que l'intéressée pourra s'inscrire auprès de l'assurance-maladie et bénéficier ainsi, à tout le moins, d'une prise en charge partielle des soins médicaux qui lui sont nécessaires, il n'est pas garanti précisément qu'elle puisse accéder de manière raisonnable à ces soins, psychothérapeutiques en particulier, dont elle a impérativement besoin et dont l'importance, ainsi que la régularité, voire l'intensité sont primordiales. Que l'intéressée puisse retourner en Bosnie et Herzégovine accompagnée de son mari, lequel paraît apte à exercer une activité lucrative et à subvenir à leurs besoins, et qu'elle puisse encore compter, le cas échéant, sur un certain réseau familial sur place, voire puisse y retrouver (...), lequel a fait l'objet d'une décision de renvoi définitive, ne constituent pas des facteurs décisifs dans le cadre d'une pondération de l'ensemble des circonstances de la cause. En effet, ceux-ci ne sont manifestement pas de nature à améliorer de manière significative l'accès au suivi et aux divers traitements médicaux requis par son état de santé. En d'autres termes, ils ne sont pas de nature à suppléer aux carences du système sanitaire bosniaque constatées en matière de soutien psychothérapeutique. A cela s'ajoute que sa problématique psychopathologique empêche d'envisager qu'un traitement adapté, efficace et propice à l'amélioration de sa santé puisse être poursuivi dans son pays. Le Tribunal retient surtout qu'il existe un risque sérieux et particulièrement élevé, dans les circonstances actuelles, que l'exécution du renvoi entraîne un danger concret pour la vie de l'intéressée.</w:t>
      </w:r>
    </w:p>
    <w:p>
      <w:r>
        <w:rPr>
          <w:b/>
        </w:rPr>
        <w:t>E. 5.6</w:t>
      </w:r>
    </w:p>
    <w:p>
      <w:r>
        <w:t>En conséquence, l'exécution du renvoi ne saurait être raisonnablement exigée en la cause, sinon au risque de mettre l'intéressée dans une situation particulièrement rigoureuse qui l'exposerait alors à une mise en danger concrète au sens de l'art. 83 al. 4 LEtr. Aussi se justifie-t-il d'y renoncer.</w:t>
      </w:r>
    </w:p>
    <w:p>
      <w:r>
        <w:rPr>
          <w:b/>
        </w:rPr>
        <w:t>E. 6</w:t>
      </w:r>
    </w:p>
    <w:p>
      <w:r>
        <w:t>Il s'ensuit que le recours du 9 novembre 2007 est admis, la décision du 5 octobre 2007 annulée et l'ODM invité à mettre l'intéressée et son mari au bénéfice d'une admission provisoire, compte tenu du principe de l'unité de la famille (art. 44 al. 1 LAsi), de la jurisprudence élaborée en la matière (cf. dans ce sens JICRA 1996 n° 18 consid. 14e p. 189s. et réf. cit.), et dans la mesure où aucune des exceptions jurisprudentielles à l'admission d'un membre de la famille n'est réalisée (cf. dans ce sens JICRA 2004 n° 12 consid. 7b-d p. 76ss, JICRA 1995 n° 24 consid. 10-11 p. 230ss). Au demeurant, il ne ressort du dossier aucun élément dont on pourrait déduire que les conditions d'application de l'art. 83 al. 7 LEtr sont remplies.</w:t>
      </w:r>
    </w:p>
    <w:p>
      <w:r>
        <w:rPr>
          <w:b/>
        </w:rPr>
        <w:t>E. 7.1</w:t>
      </w:r>
    </w:p>
    <w:p>
      <w:r>
        <w:t>Vu l'issue de la procédure, il n'est pas perçu de frais (art. 63 al. 1 et 2 PA), de sorte que la demande d'assistance judiciaire partielle est sans objet.</w:t>
      </w:r>
    </w:p>
    <w:p>
      <w:r>
        <w:rPr>
          <w:b/>
        </w:rPr>
        <w:t>E. 7.2</w:t>
      </w:r>
    </w:p>
    <w:p>
      <w:r>
        <w:t>Par ailleurs, dans la mesure où les intéressés obtiennent gain de cause, ils peuvent prétendre à l'allocation de dépens aux conditions de l'art. 64 al. 1 PA, de l'art. 7 al. 1, de l'art. 8, de l'art. 9 al. 1 et de l'art. 10 al. 1 et 2 du règlement du 21 février 2008 concernant les frais, dépens et indemnités fixés par le Tribunal administratif fédéral (FITAF, RS 173.320.2). Le Tribunal fixant les dépens d'office et selon sa libre appréciation sur la base du dossier en l'absence de toute note détaillée de la partie à cet effet (art. 14 al. 2 FITAF), il s'avère adéquat d'allouer un montant de Fr. 800.- à titre d'indemnité de partie. (dispositif page suivante) 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