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D-7587/2009 vom 26. Juli 2011</w:t>
      </w:r>
    </w:p>
    <w:p>
      <w:r>
        <w:t>Bundesverwaltungsgericht, 2011-07-26, DE</w:t>
      </w:r>
    </w:p>
    <w:p>
      <w:r>
        <w:rPr>
          <w:b/>
        </w:rPr>
        <w:t xml:space="preserve">Quelle: </w:t>
      </w:r>
      <w:r>
        <w:t>https://mcp.opencaselaw.ch/entscheid/bvger_D-7587_2009</w:t>
      </w:r>
    </w:p>
    <w:p>
      <w:r>
        <w:t>FR: TAF D-7587/2009 du 26 juillet 2011</w:t>
      </w:r>
    </w:p>
    <w:p>
      <w:r>
        <w:t>IT: TAF D-7587/2009 del 26 luglio 2011</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lediglich gegen die Ziffern 4 und 5 der Verfügung des BFM vom 6. November 2009. Die Ziffern 1, 2 und 3 der angefochtenen Verfügung (betreffend Flüchtlingseigen­schaft, Asylgewährung und Anordnung der Wegweisung) sind somit in Rechtskraft erwachsen. Gegenstand des vorliegenden Beschwerdeverfahrens bildet somit lediglich die Frage, ob entsprechend den Rechtsbegehren die vorläufige Aufnahme wegen Unzumutbarkeit des Vollzugs der Wegweisung anzuordnen ist (vgl. Art. 44 Abs. 2 AsylG i.V.m. Art. 83 Abs. 4 AuG).</w:t>
      </w:r>
    </w:p>
    <w:p>
      <w:r>
        <w:rPr>
          <w:b/>
        </w:rPr>
        <w:t>E. 4</w:t>
      </w:r>
    </w:p>
    <w:p>
      <w:r>
        <w:t>Gestützt auf Art. 111a Abs. 1 AsylG wurde vorliegend auf die Durchführung des Schriftenwechsels verzichtet.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Die Bedingungen für einen (vorläufigen) Verzicht auf den Vollzug der Wegweisung - Unzulässigkeit, Unzumutbarkeit und Unmöglichkeit (vgl. Art. 83 Abs. 2 - 4 AuG) - sind alternativer Natur: Ist eine dieser Voraussetzungen erfüllt, so ist der Vollzug der Wegweisung als undurchführbar zu erachten (vgl. BVGE 2009/51 E. 5.4 S. 748, Entscheidungen und Mitteilungen der Schweizerischen Asylrekurskommission [EMARK] 2001 Nr. 1 E. 6a S. 2, EMARK 2006 Nr. 6 E. 4.2 S. 54 f.). Ist der Vollzug der Wegweisung nicht zumutbar, so regelt das Bundesamt das Anwesenheitsverhältnis nach den gesetzlichen Be­stimmungen über die vorläufige Aufnahme von Ausländern (Art. 44 Abs. 2 AsylG; Art. 83 Abs. 1 AuG).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Für die Beurteilung der allgemeinen Lage in Afghanistan wird zunächst auf das zur Publikation vorgesehene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Entscheidungen und Mitteilungen der Schweizerischen Asylrekurskommission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5.2.2</w:t>
      </w:r>
    </w:p>
    <w:p>
      <w:r>
        <w:t>Der Beschwerdeführer stammt nicht aus einer Grossstadt, sondern aus dem Dorf N._______ in der Provinz Helmand und lebte vor seiner Ausreise aus dem Heimatstaat in O._______ in der Provinz Parwan. Ein Wegweisungsvollzug dorthin ist gemäss den vorstehenden Ausführungen unzumutbar.</w:t>
      </w:r>
    </w:p>
    <w:p>
      <w:r>
        <w:rPr>
          <w:b/>
        </w:rPr>
        <w:t>E. 5.2.3</w:t>
      </w:r>
    </w:p>
    <w:p>
      <w:r>
        <w:t>In einem nächsten Schritt zu prüfen bleibt daher, ob es dem Beschwerdeführer zumutbar wäre, sich im Sinne einer Aufenthaltsalternative in einer Grossstadt, zum Beispiel Kabul, niederzulassen. Vorliegend bestehen den Akten zufolge diesbezüglich keine Anknüpfungspunkte, um einen Wegweisungsvollzug dorthin als zumutbar einzustufen.</w:t>
      </w:r>
    </w:p>
    <w:p>
      <w:r>
        <w:rPr>
          <w:b/>
        </w:rPr>
        <w:t>E. 5.2.4</w:t>
      </w:r>
    </w:p>
    <w:p>
      <w:r>
        <w:t>Zusammenfassend ist festzuhalten, dass der Vollzug der Wegweisung aus der Schweiz nach Afghanistan für den Beschwerdeführer zur Zeit nicht zumutbar ist.</w:t>
      </w:r>
    </w:p>
    <w:p>
      <w:r>
        <w:rPr>
          <w:b/>
        </w:rPr>
        <w:t>E. 5.2.5</w:t>
      </w:r>
    </w:p>
    <w:p>
      <w:r>
        <w:t>Da sich den Akten keine Hinweise entnehmen lassen, wonach der Beschwerdeführer einen der Tatbestände von Art. 83 Abs. 7 AuG (Ausschluss von der vorläufigen Aufnahme) erfüllen würde, ist die Beschwerde, welche sich auf den Vollzug der Wegweisung beschränkte, vollumfänglich gutzuheissen. Die Ziffern 4 und 5 des Dispositivs der angefochtenen Verfügung sind aufzuheben und das BFM ist anzuweisen, den Beschwerdeführer infolge Unzumutbarkeit des Wegweisungsvollzuges vorläufig aufzunehmen.</w:t>
      </w:r>
    </w:p>
    <w:p>
      <w:r>
        <w:rPr>
          <w:b/>
        </w:rPr>
        <w:t>E. 6.1</w:t>
      </w:r>
    </w:p>
    <w:p>
      <w:r>
        <w:t>Bei diesem Ausgang des Verfahrens sind keine Kosten aufzuerlegen (Art. 63 Abs. 1 und 2 VwVG).</w:t>
      </w:r>
    </w:p>
    <w:p>
      <w:r>
        <w:rPr>
          <w:b/>
        </w:rPr>
        <w:t>E. 6.2</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(vgl. Art. 8 ff. VGKE) festlegen. Die Vorinstanz ist anzuweisen, dem Beschwerdeführer eine Parteientschädigung von Fr. 600.- (inkl. Auslagen und allfällige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