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D-755/2017 vom 28. März 2017</w:t>
      </w:r>
    </w:p>
    <w:p>
      <w:r>
        <w:t>Bundesverwaltungsgericht, 2017-03-28, DE</w:t>
      </w:r>
    </w:p>
    <w:p>
      <w:r>
        <w:rPr>
          <w:b/>
        </w:rPr>
        <w:t xml:space="preserve">Quelle: </w:t>
      </w:r>
      <w:r>
        <w:t>https://mcp.opencaselaw.ch/entscheid/bvger_D-755_2017</w:t>
      </w:r>
    </w:p>
    <w:p>
      <w:r>
        <w:t>FR: TAF D-755/2017 du 28 mars 2017</w:t>
      </w:r>
    </w:p>
    <w:p>
      <w:r>
        <w:t>IT: TAF D-755/2017 del 28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 Die Beschwerdeführenden sind als Verfügungsadressaten zur Beschwerdeführung legitimiert (Art. 48 Abs. 1 VwVG). Auf die frist- und formgerecht eingereichte Beschwerde (Art. 108 Abs. 1 AsylG und Art. 52 Abs. 1 VwVG) ist vorbehaltlich nachfolgender Erwägungen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Im vorliegenden Verfahren bilden gemäss den Anträgen der Beschwerdeführenden die Gewährung von Asyl, die Anerkennung der Flüchtlingseigenschaft zufolge subjektiver Nachfluchtgründe und die Wegweisung an sich den Prozessgegenstand. Nachdem das SEM in seiner Verfügung vom 20. Februar 2017 die vorläufige Aufnahme der Beschwerdeführenden in der Schweiz angeordnet hat, erübrigen sich aufgrund der Alternativität der Wegweisungsvollzugshindernisse weitere Ausführungen zur Durchführbarkeit des Wegweisungsvollzugs. Da es an einem diesbezüglichen Rechtsschutzinteresse fehlt, ist auf den entsprechenden Eventualantrag nicht einzutreten. Die vorläufige Aufnahme tritt mit dem vorliegenden Entscheid formell in Kraft.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6</w:t>
      </w:r>
    </w:p>
    <w:p>
      <w:r>
        <w:t>Die Schlussfolgerungen der Vorinstanz sind weder in tatsächlicher noch in rechtlicher Hinsicht zu beanstanden. In der angefochtenen Verfügung wird einlässlich begründet, welche Angaben nicht von Asylrelevanz und welche Aussagen unglaubhaft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So bestätigt die Beschwerde selbst, die Aussagen des Beschwerdeführ-ers 1 würden in einzelnen Punkten voneinander abweichen; dies hänge auch damit zusammen, dass der Beschwerdeführer 1 anlässlich der kurzen Erstbefragung nicht alle seine Erlebnisse ausführlich habe darlegen können. Die Erstbefragung des Beschwerdeführers 1 dauerte fast zwei Stunden (SEM-Akten A5/15, Ziff. 5.01, Ziff. 9.03). Zudem wurden dem Beschwerdeführer 1 bereits anlässlich der Erstbefragung 25 Fragen betreffend seine Asylgründe gestellt und er wurde ausdrücklich aufgefordert, sämtliche Gesuchsgründe zu nennen (SEM-Akten A5/15, Ziff. 7.01-7.03). Gesuchsteller haben zwar nicht die Pflicht, sämtliche Gründe ihres Asylgesuchs abschliessend in der Erstbefragung darzulegen. Klare asylrelevante Aussagen, die in der Erstbefragung von den späteren Aussagen diametral abweichen, oder bestimmte Ereignisse oder Befürchtungen, die nicht ansatzweise erwähnt werden, lassen sich jedoch nicht mit dem summarischen Charakter der Erstbefragung erklären (so bereits grundlegend Entscheidungen und Mitteilungen der Schweizerischen Asylrekurskommission [EMARK] 1993/Nr. 3 E. 3 S. 13). Gleiches gilt auch vorliegend, womit der Vorinstanz darin beizupflichten ist, dass der Beschwerdeführer 1 seine militärische Beorderung nach D._______ und seine Desertion anlässlich der Zweitbefragung nachgeschoben hat. Ferner hat die Vorinstanz ebenso richtig erkannt, dass die Ausführungen des Beschwerdeführers 1 zu seinem militärischen Aufgebot, zu seinem kurzen Aufenthalt in D._______ - der das zentrale Element der angeblichen Zwangsrekrutierung darstellt - zu seinem Leben im Versteck und zur angeblichen Verfolgung seines Vaters unsubstantiiert, oberflächlich sowie ohne Realkennzeichen, mithin unglaubhaft ausgefallen sind und die Unglaubhaftigkeit seiner gesamten Vorbringen bekräftigen. Sodann sei mit Blick auf die nachträglich eingereichten Beweismittel darauf hinzuweisen, dass in Eritrea Dokumente aller Art - so auch militärische Vorladungen - leicht käuflich erworben werden könnten, weshalb diesen nur geringe Beweiskraft zukommt. Die von der Vorinstanz schliesslich zutreffend aufgeführten Unglaubhaftigkeitselemente betreffend die politischen Aktivitäten des Beschwerdeführers 1 bleiben auf Beschwerdeebene unwidersprochen. Auch gegen die zutreffende Erwägung der Vorinstanz, dass die versuchte illegale Ausreise der Beschwerdeführerin 2 und der dadurch einhergehenden kurzen Inhaftierung eine abgeschlossene Vorverfolgung darstelle und somit nicht asylrelevant sei, werden in der Beschwerde weder stichhaltige noch überzeugende Argumente angeführt. Somit bleibt zu prüfen, ob die Beschwerdeführenden wegen ihrer Ausreise aus Eritrea bei einer Rückkehr dorthin - mithin wegen subjektiver Nachfluchtgründe - befürchten müssten, ernsthaften Nachteilen im Sinne von Art. 3 AsylG ausgesetzt zu werden.</w:t>
      </w:r>
    </w:p>
    <w:p>
      <w:r>
        <w:rPr>
          <w:b/>
        </w:rPr>
        <w:t>E. 7.1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Die Beschwerdeführenden machen geltend, sie hätten Eritrea illegal verlassen und seien deswegen im Falle einer Rückkehr dorthin an Leib und Leben sowie in ihrer Freiheit gefährdet.</w:t>
      </w:r>
    </w:p>
    <w:p>
      <w:r>
        <w:rPr>
          <w:b/>
        </w:rPr>
        <w:t>E. 7.2</w:t>
      </w:r>
    </w:p>
    <w:p>
      <w:r>
        <w:t>Gemäss der langjährigen bisherigen Praxis der schweizerischen Asylbehörden begründete bereits eine (glaubhaft gemachte) illegale Ausreise aus Eritrea ohne Weiteres die Flüchtlingseigenschaft. Das SEM verschärfte diese Praxis im Sommer 2016. Das Bundesverwaltungsgericht befasste sich im Rahmen des (in seinen beiden Asylabteilungen kürzlich koordiniert entschiedenen) Urteils D-7898/2015 vom 30. Januar 2017 (als Referenzurteil publiziert) mit der Frage, ob Eritreerinnen und Eritreer, die ihr Land illegal verlassen haben, allein deswegen bei einer Rückkehr Verfolgung zu befürchten haben. Dabei kam es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gemäss dieser neuen Rechtsprechung nicht mehr davon auszugehen, dass einer Person einzig aufgrund ihrer unerlaubten Ausreise aus Eritrea dort eine flüchtlingsrechtlich relevante Verfolgung droht. Von der begründeten Furcht vor flüchtlingsrechtlich erheblichen Nachteilen ist nur dann auszugehen, wenn zur illegalen Ausreise weitere Faktoren hinzukommen, welche die asylsuchende Person in den Augen der eritreischen Behörden als missliebige Person erscheinen lassen (vgl. ebd. E. 5). In Anbetracht der geänderten Rechtsprechung kann die Frage der Glaubhaftigkeit der illegalen Ausreise der Beschwerdeführenden vorliegend offen gelassen werden, da in ihrem Fall keine solchen zusätzlichen Gefährdungsfaktoren ersichtlich sind, zumal der Beschwerdeführer 1 aufgrund des oben Gesagten seinen Einzug in den Nationaldienst nicht glaubhaft gemacht hat, er somit nicht als Deserteur oder Refraktär gelten kann. Andere Anknüpfungspunkte, welche die Beschwerdeführenden in den Augen des eritreischen Regimes als missliebige Personen erscheinen lassen könnten beziehungsweise zu einer Schärfung ihres Profils und dadurch zu einer flüchtlingsrechtlich relevanten Verfolgungsgefahr führen könnten, sind nicht ersichtlich. Wie bereits erwähnt, vermag die illegale Ausreise allein keine Furcht vor einer zukünftigen flüchtlingsrechtlich relevanten Verfolgung zu begründen.</w:t>
      </w:r>
    </w:p>
    <w:p>
      <w:r>
        <w:rPr>
          <w:b/>
        </w:rPr>
        <w:t>E. 7.3</w:t>
      </w:r>
    </w:p>
    <w:p>
      <w:r>
        <w:t>Es ist den Beschwerdeführenden demnach nicht gelungen, eine relevante Verfolgungsgefahr im Sinne von Art. 3 respektive Art. 54 AsylG nachzuweisen oder glaubhaft darzutun. Das SEM hat ihre Flüchtlingseigenschaft somit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soweit zu überprüfen Bundesrecht nicht verletzt und den rechtserheblichen Sachverhalt richtig sowie vollständig feststellt (Art. 106 Abs. 1 AsylG). Die Beschwerde ist demnach abzuweisen, soweit darauf einzutreten ist.</w:t>
      </w:r>
    </w:p>
    <w:p>
      <w:r>
        <w:rPr>
          <w:b/>
        </w:rPr>
        <w:t>E. 10</w:t>
      </w:r>
    </w:p>
    <w:p>
      <w:r>
        <w:t>Bei diesem Ausgang des Verfahrens sind die Kosten von Fr. 600.- (Art. 1-3 des Reglements vom 21. Februar 2008 über die Kosten und Entschädigungen vor dem Bundesverwaltungsgericht [VGKE, SR 173.320.2]) den Beschwerdeführenden aufzuerlegen (Art. 63 Abs. 1 VwVG).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