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D-755/2011 vom 4. September 2012</w:t>
      </w:r>
    </w:p>
    <w:p>
      <w:r>
        <w:t>Bundesverwaltungsgericht, 2012-09-04, DE</w:t>
      </w:r>
    </w:p>
    <w:p>
      <w:r>
        <w:rPr>
          <w:b/>
        </w:rPr>
        <w:t xml:space="preserve">Quelle: </w:t>
      </w:r>
      <w:r>
        <w:t>https://mcp.opencaselaw.ch/entscheid/bvger_D-755_2011</w:t>
      </w:r>
    </w:p>
    <w:p>
      <w:r>
        <w:t>FR: TAF D-755/2011 du 4 septembre 2012</w:t>
      </w:r>
    </w:p>
    <w:p>
      <w:r>
        <w:t>IT: TAF D-755/2011 del 4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2009/50 E. 10.2, BVGE 2008/24 E. 7.2, BVGE 2007/21 E. 11.1.3).</w:t>
      </w:r>
    </w:p>
    <w:p>
      <w:r>
        <w:rPr>
          <w:b/>
        </w:rPr>
        <w:t>E. 4.2</w:t>
      </w:r>
    </w:p>
    <w:p>
      <w:r>
        <w:t>Im Beschwerdeverfahren 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BFM hat sich somit nicht nur vor der im Moment ihres Erlasses gegebenen Sach- und Rechtslage zu behaupten, sondern ausserdem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[vormaligen] Schweizerischen Asylrekurskommission [EMARK] 2004 Nr. 38 E. 7.1. S. 265; Fritz Gygi, Bundesverwaltungs­rechts­pflege, 2. Aufl., Bern 1983, S. 233).</w:t>
      </w:r>
    </w:p>
    <w:p>
      <w:r>
        <w:rPr>
          <w:b/>
        </w:rPr>
        <w:t>E. 5.1</w:t>
      </w:r>
    </w:p>
    <w:p>
      <w:r>
        <w:t>In den Rekurseingaben wird geltend gemacht, der Beschwerdeführer habe im erstinstanzlichen Verfahren - so namentlich aus Rücksicht auf in der Türkei verbliebene Kameraden - nicht vollumfänglich wahr über sein po­litisches Engagement gesprochen. Indem er gewisse Dinge, Aktivitäten und versteckte Aufenthalte bisher nicht habe offenlegen können, hätten sich gewisse Unstimmigkeiten ergeben. Entsprechend sei ihm Gelegen­heit einzuräumen, im Rahmen einer erneuten Befragung seine wahren, nunmehr offengelegten Fluchtgründe zu schildern. Betreffend die einge­reichten Beweismittel sei eine Botschaftsabklärung zu veranlassen. Das BFM geht in der Vernehmlassung nach wie vor von der Unglaubhaftigkeit der Verfolgung aus politischen Gründen aus.</w:t>
      </w:r>
    </w:p>
    <w:p>
      <w:r>
        <w:rPr>
          <w:b/>
        </w:rPr>
        <w:t>E. 5.2</w:t>
      </w:r>
    </w:p>
    <w:p>
      <w:r>
        <w:t>Die Argumentation in der vorinstanzlichen Vernehmlassung überzeugt nicht. So hat das BFM bei den eingereichten Verfahrensdokumenten keine objektiven Fälschungsmerkmale erkennen können. Hingegen weist es wohl zu Recht darauf hin, dass es sich beim Gerichtsdokument vom 18. November 2009 lediglich um eine Einstellungsverfügung handle. Ande­rerseits wird bereits im erstinstanzlich eingereichten Anwaltsschrei­ben, welches vom BFM als blosses Gefälligkeitsdokument qualifiziert wurde, eine Verfahrensnummer erwähnt, die mit derjenigen des eingereich­ten Haftbefehls vom 14. Dezember 2007 übereinstimmt (...). Anzufügen ist sodann, dass der Beschwerdeführer durchaus Dokumente für die Glaubhaftigkeit der angegebenen Identität einreichte. Die weitere Erwägung des BFM, es sei nicht nachvollziehbar, weshalb der Beschwerdeführer am 30. April 2009 (Datum des Vorfalls in der ferner eingereichten Feststellungsverfügung vom 18. November 2009) nicht festge­nommen worden sei, überzeugt nicht, zumal er ja wiederholt an­gab, es seien fingierte Tatbestände gegen ihn hängig, und so seine Anwe­senheit am angeblichen Tatort mithin nicht feststehen dürfte. Die im Beschwerdeverfahren - unter Hinweis auf bisher verschwiegene Einzelhei­ten - explizit geltend gemachte Tätigkeit für die MKP kann somit nicht ohne Weiteres als unglaubhaft erachtet werden, zumal er ja be­reits bei der Anhörung Aktivitäten für diese Gruppierung erwähnte. Es sind weitere Abklärungen vorzunehmen, damit beurteilt werden kann, ob die auf Beschwerdestufe vorgebrachten Noven glaubhaft beziehungs­weise die eingereichten Beweismittel authentisch sind oder nicht. Daraus folgt, dass vorliegend der Sachverhalt nicht genügend erstellt ist, weshalb es sich als angezeigt erweist, die Sache an das BFM als erste Instanz zu­rückzuweisen, damit dieses die erforderlichen Abklärungen vornimmt und de­ren Ergebnis im Rahmen eines neuen Entscheids festhält, da sich die Ent­scheidungsreife nicht mit geringem Aufwand herstellen lässt. So ist (im Rahmen einer erneuten Anhörung) unter Umständen auch zu klären, ob möglicherweise Anhaltspunkte für die Asylunwürdigkeit des Beschwer­deführers vorliegen.</w:t>
      </w:r>
    </w:p>
    <w:p>
      <w:r>
        <w:rPr>
          <w:b/>
        </w:rPr>
        <w:t>E. 6</w:t>
      </w:r>
    </w:p>
    <w:p>
      <w:r>
        <w:t>Die Beschwerde ist somit gutzuheissen, soweit die Aufhebung der ange­fochtenen Verfügung beantragt wird. Die vorinstanzliche Verfügung vom 22. Dezember 2010 ist aufzuheben und die Sache in Anwendung von Art. 61 Abs. 1 in fine VwVG zur vollständigen und richtigen Sachverhaltsermitt­lung und Neubeurteilung im Sinne der Erwägungen ans BFM zurückzuweisen.</w:t>
      </w:r>
    </w:p>
    <w:p>
      <w:r>
        <w:rPr>
          <w:b/>
        </w:rPr>
        <w:t>E. 7.1</w:t>
      </w:r>
    </w:p>
    <w:p>
      <w:r>
        <w:t>Die Verfahrenskosten sind in der Regel der unterliegenden Partei aufzuerle­gen (Art. 63 Abs. 1 VwVG), wobei Vorinstanzen keine Verfahrens­kosten auferlegt werden (Art. 63 Abs. 2 VwVG). Einer obsiegen­den Partei dürfen nur Verfahrenskosten auferlegt werden, die sie durch Verletzung von Verfahrenspflichten verursacht hat (Art. 63 Abs. 3 VwVG). Vorliegend wäre der Beschwerdeführer aufgrund seiner Mitwir­kungspflicht (Art. 8 AsylG und Art. 13 VwVG) gehalten gewesen, den im Rahmen der Beschwerde geltend gemachten Sachverhalt bereits im erstin­stanzlichen Verfahren, insbesondere im Rahmen der Befragung im EVZ und der Anhörung zu den Asylgründen der Wahrheit entsprechend zu Protokoll zu geben, zumal die Asylbehörden der Verschwiegenheits­pflicht unterliegen. Da insbesondere diese, in Verletzung seiner Mitwirkungs­pflicht erst auf Beschwerdeebene erfolgten Aussagen verbunden mit der Einreichung der erwähnten Beweismittel zur Gut­heissung der Beschwerde geführt haben, wären ihm trotz Obsiegens die Verfahrenskosten aufzuerlegen (André Moser/ Michael Beusch/Lorenz Kneubühler, Prozessieren vor dem Bundesverwaltungsgericht, Basel 2008, Rz. 4.52). Da aber das Gesuch im Sinne von Art. 65 Abs. 1 VwVG mit Zwischenverfügung vom 2. Februar 2011 gutgeheissen wurde und sich seine finanzielle Situation gemäss Aktenlage seither nicht verändert hat, ist von der Kostenauflage abzusehen.</w:t>
      </w:r>
    </w:p>
    <w:p>
      <w:r>
        <w:rPr>
          <w:b/>
        </w:rPr>
        <w:t>E. 7.2</w:t>
      </w:r>
    </w:p>
    <w:p>
      <w:r>
        <w:t>Aus den soeben dargelegten Gründen können die dem Beschwerdefüh­rer erwachsenen Kosten für die Vertretung sowie allfällige weitere Auslagen nicht als notwendig im Sinne von Art. 64 Abs. 1 VwVG er­achtet werden. Es ist dem Beschwerdeführer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