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D-7559/2007 vom 19. März 2009</w:t>
      </w:r>
    </w:p>
    <w:p>
      <w:r>
        <w:t>Bundesverwaltungsgericht, 2009-03-19, DE</w:t>
      </w:r>
    </w:p>
    <w:p>
      <w:r>
        <w:rPr>
          <w:b/>
        </w:rPr>
        <w:t xml:space="preserve">Quelle: </w:t>
      </w:r>
      <w:r>
        <w:t>https://mcp.opencaselaw.ch/entscheid/bvger_D-7559_2007</w:t>
      </w:r>
    </w:p>
    <w:p>
      <w:r>
        <w:t>FR: TAF D-7559/2007 du 19 mars 2009</w:t>
      </w:r>
    </w:p>
    <w:p>
      <w:r>
        <w:t>IT: TAF D-7559/2007 del 19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 sind durch die angefochtene Verfügung besonders berührt und haben ein schutzwürdiges Interesse an deren Aufhebung beziehungsweise Änderung. Die Beschwerdeführer sind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Im zweiten Asylverfahren der Beschwerdeführer und in der vorliegenden Beschwerde werden subjektive Nachfluchtgründe geltend gemacht. Es gilt zu prüfen, ob die neuen Vorbringen der Beschwerdeführer in Bezug auf die Flüchtlingseigenschaft eine ausreichende Relevanz aufweisen beziehungsweise ob die Beschwerdeführer durch ihr Verhalten seit rechtskräftigem Abschluss des ersten Asylverfahrens einen Grund für eine zukünftige Verfolgung durch die iranischen Behörden gesetzt haben (vgl. Entscheidungen und Mitteilungen der Schweizerischen Asylrekurskommission [EMARK] 1998 Nr. 1 E. 5b).</w:t>
      </w:r>
    </w:p>
    <w:p>
      <w:r>
        <w:rPr>
          <w:b/>
        </w:rPr>
        <w:t>E. 4.2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(vgl. Art. 54 AsylG), werden jedoch als Flüchtlinge vorläufig aufgenommen (vgl. EMARK 2000 Nr. 16 E. 5a mit weiteren Hinweisen). Massgebend ist, ob die iranischen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4.3</w:t>
      </w:r>
    </w:p>
    <w:p>
      <w:r>
        <w:t>Der Beschwerdeführer ist gemäss Akten seit Oktober 2005 offiziell Mitglied der Organisation DVF, welche von D._______. im August 2004 gegründet wurde und sich seither als vor allem in der Schweiz aktive Exilorganisation durch gewaltlose öffentliche Auftritte gegen die aktuellen politischen Zustände im Iran bemerkbar gemacht hat. Der Beschwerdeführer hat an mehreren Kundgebungen und Standaktionen teilgenommen, Internetartikel verfasst und ist gemäss eigenen Angaben verantwortlich für die DVF-Sektion im Kanton (...). Mit Bezug auf den Iran ist in genereller Hinsicht festzuhalten, dass durch die Neufassung des iranischen Strafrechts vom 9. Juli 1996 die politische Betätigung für staatsfeindliche Organisationen im Ausland unter Strafe gestellt ist (Art. 498 - 500). Zudem überwachen die iranischen Behörden die politischen Aktivitäten ihrer Staatsangehörigen im Ausland.</w:t>
      </w:r>
    </w:p>
    <w:p>
      <w:r>
        <w:rPr>
          <w:b/>
        </w:rPr>
        <w:t>E. 4.4</w:t>
      </w:r>
    </w:p>
    <w:p>
      <w:r>
        <w:t>Das Gericht geht trotz dieser für die Annahme einer Gefährdung sprechenden Momente - wie nachfolgend ausgeführt wird - davon aus, dass in casu keine subjektiven Nachfluchtgründe bestehen, weshalb die vorinstanzliche Verfügung diesbezüglich zu bestätigen ist. Zur Vermeidung von Wiederholungen kann auf die zutreffenden Erwägungen der Vorinstanz verwiesen werden (vgl. Bst. E vorstehend), wobei insbesondere mit Blick auf die Rügen der Beschwerdeführer auf Rechtsmittelebene Folgendes zu erwägen bleibt:</w:t>
      </w:r>
    </w:p>
    <w:p>
      <w:r>
        <w:rPr>
          <w:b/>
        </w:rPr>
        <w:t>E. 4.4.1</w:t>
      </w:r>
    </w:p>
    <w:p>
      <w:r>
        <w:t>Vorab ist allgemein weiterhin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w:t>
      </w:r>
    </w:p>
    <w:p>
      <w:r>
        <w:rPr>
          <w:b/>
        </w:rPr>
        <w:t>E. 4.4.2</w:t>
      </w:r>
    </w:p>
    <w:p>
      <w:r>
        <w:t>Die Position des Beschwerdeführers innerhalb einer kantonalen Sektion der DVF stellt indessen nach Ansicht des Gerichts keine hinreichend hohe und in der Öffentlichkeit exponierte Kaderstelle dar, die zu einer asylrechtlich relevanten Gefährdung führen könnte. Selbst allfällige gelegentliche Kontakte mit kantonalem und nationalem höherem Kader der DVF stellen eine interne Tätigkeit in der Organisation dar und bringen den Beschwerdeführer nicht in eine exponierte Stellung oder gar in eine Führungsposition, die ihn als Gefahr für das Mullah- Regime erscheinen lassen und in eine höhere Position als jene eines blossen Mitglieds versetzen würde. Auch die Publikation von Internetartikeln bringt ihn nicht in eine exponierte Lage, da solche Artikel von der Machart und dem Erscheinungsbild her stereotype Kritiken am iranischen Regime darstellen, die in den entsprechenden Internetseiten regelmässig und unter wechselnden Namen erscheinen. Auch diese Aktivität des Beschwerdeführers vermag somit nicht, die oben genannte Exponiertheit zu bewirken oder ihm ein fundiertes politisches Profil zu verleihen.</w:t>
      </w:r>
    </w:p>
    <w:p>
      <w:r>
        <w:rPr>
          <w:b/>
        </w:rPr>
        <w:t>E. 4.4.3</w:t>
      </w:r>
    </w:p>
    <w:p>
      <w:r>
        <w:t>Vor diesem Hintergrund lässt die durch die weiteren Beweismittel dokumentierte Beteiligung des Beschwerdeführers an exilpolitischen Aktivitäten von vornherein nicht das Gefährdungspotenzial entstehen, welches die Beschwerdeführer daraus abzuleiten versuchen. Im Sinne einer Klarstellung ist sodann die Anmerkung angebracht,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(in casu im Sinne einer Aufnahme als Flüchtling) zu erwirken. In diesem Zusammenhang geht es nicht darum, die innere (politische) Gesinnung eines Asylsuchenden auszuleuchten, vielmehr erschöpft sich der Prüfungsumfang der Asylbehörden darin, die gegen aussen manifestierte, aus Sicht der iranischen Behörden als potenziell gefährlich zu wertende Oppositionstätigkeit der in Frage stehenden Person zu beurteilen. Die entsprechenden Erwägungen der Vorinstanz sind, entgegen den Rügen in der Rechtsmitteleingabe, nicht zu beanstanden.</w:t>
      </w:r>
    </w:p>
    <w:p>
      <w:r>
        <w:rPr>
          <w:b/>
        </w:rPr>
        <w:t>E. 4.4.4</w:t>
      </w:r>
    </w:p>
    <w:p>
      <w:r>
        <w:t>Zusammenfassend ist festzuhalten, dass - unter Berücksichtigung der Vorbringen und der eingereichten Beweismittel - die Einschätzung der Vorinstanz bezüglich einer in flüchtlingsrechtlicher Hinsicht fehlenden politischen Exponiertheit des Beschwerdeführers zutreffend ist. So reicht eine Identifizierbarkeit als exilpolitischer Aktivist nicht aus, um daraus abzuleiten, er werde deswegen bei einer Rückkehr in den Iran verfolgt. Vor allem sind keine Hinweise aktenkundig, wonach er in der Schweiz in seiner vermeintlichen Kaderstelle bei einer Exilorganisation exponiert gewesen wäre. Die Vorbringen in der Rechtsmitteleingabe, welche sich im Wesentlichen auf die mögliche Identifizierbarkeit des Beschwerdeführers durch den iranischen Geheimdienst beziehen, greifen insoweit zu kurz und sind als letztlich nicht entscheidendes Kriterium in casu nicht von Bedeutung. Im Weiteren fehlt es an einem Beleg, wonach gegen den Beschwerdeführer aufgrund seiner Aktivitäten im Iran ein Strafverfahren oder andere behördliche Massnahmen eingeleitet worden wären (vgl. zur Möglichkeit der Eröffnung von Strafverfahren in Abwesenheit SFH, a.a.O., S. 10 mit weiteren Hinweisen).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ist der Beschwerdeführer auf seine in Art. 8 AsylG verankerte Mitwirkungspflicht zu verweisen.</w:t>
      </w:r>
    </w:p>
    <w:p>
      <w:r>
        <w:rPr>
          <w:b/>
        </w:rPr>
        <w:t>E. 4.4.5</w:t>
      </w:r>
    </w:p>
    <w:p>
      <w:r>
        <w:t>Angesichts der aufgezeigten Sachlage erübrigt es sich, auf weitere Einwendungen in der Beschwerde einzugehen, da diese nicht geeignet sind, einen anderen Entscheid in der Frage der Flüchtlingseigenschaft herbeizuführen. Der rechtserhebliche Sachverhalt wurde im erstinstanzlichen Verfahren ausreichend ermittelt, und es ist demnach absehbar, dass aus zusätzlichen Abklärungen keine neuen entscheidwesentlichen Erkenntnisse gewonnen werden könnten. Der entsprechende Antrag zur Rückweisung der Sache an die Vorinstanz ist daher abzuweisen. Aus demselben Grund kann auf weitergehende Erörterungen zu den übrigen Beweismitteln verzichtet werden. In Würdigung der gesamten Umstände ist somit festzustellen, dass die Beschwerdeführer einen flüchtlingsrechtlich bedeutsamen Sachverhalt für die Zeit nach erfolglos durchlaufenem erstem Asylverfahren weder nachgewiesen noch glaubhaft gemacht haben. Das BFM hat demnach die Asylgesuche zu Recht abgelehnt. Bei dieser Sachlage sind die Voraussetzungen für eine Einbeziehung der Beschwerdeführerin und ihres Kindes in die Flüchtlingseigenschaft des Beschwerdeführers nicht erfüllt.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Was die gesundheitlichen Probleme der Beschwerdeführerin anbelangt, erscheint der Vollzug der Wegweisung zulässig, zumal die in casu erforderlichen Therapien und Medikamente in Teheran verfügbar sind, wie schon das BFM in seiner Verfügung vom 10. August 2005 festhielt (B7/4 S. 2).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 im Iran herrschende allgemeine Lage zeichnet sich nicht durch eine Situation allgemeiner Gewalt aus, die Staatsordnung muss aber als totalitär bezeichnet werden und die Bevölkerung ist sicherheitspolizeilicher Überwachung ausgesetzt. Die allgemeine Situation ist somit in verschiedener Hinsicht problematisch. Trotz dieser Tatsache wird der Vollzug von Wegweisungen abgewiesener iranischer Asylgesuchsteller nach der diesbezüglich konstanten Praxis der früheren ARK, der sich das Bundesverwaltungsgericht im zu beurteilenden Fall anschliesst, grundsätzlich - das heisst vorbehältlich individueller Unzumutbarkeitsindizien - als zumutbar erachtet. Vorliegend sind den Akten keine Anhaltspunkte für individuelle Unzumutbarkeitsindizien zu entnehmen. Es ist nicht in Abrede zu stellen, dass die Beschwerdeführer bei einer Rückkehr in ihren Heimatstaat aufgrund der langen Landesabwesenheit mit gewissen Schwierigkeiten konfrontiert werden könnten. Indes waren die Beschwerdeführer in ihrem Heimatland sowohl in sozialer wie auch beruflicher Hinsicht gut integriert; es dürfte ihnen mithin nicht schwer fallen, vor Ort unter Mithilfe ihrer Angehörigen eine neue Existenz aufzubauen. Die Beschwerdeführer werden durchaus in der Lage sein, zumindest den Lebensunterhalt für die Familie selber bestreiten zu können, zumal sich der Beschwerdeführer im Iran zuletzt als (...) betätigt und seine berufliche Anpassungsfähigkeit auch in der Schweiz unter Beweis gestellt hat; überdies betätigte sich die Beschwerdeführerin im Heimatstaat als (...). Blosse soziale und wirtschaftliche Schwierigkeiten, von denen die ansässige Bevölkerung im Allgemeinen betroffen ist, genügen nicht, um eine Gefahr im Sinne von Art. 83 Abs. 4 AuG darzustellen (siehe in diesem Sinne bereits EMARK 1996 Nr. 2 S. 12 f. und 1994 Nr. 19 E. 6b S. 148 f.).</w:t>
      </w:r>
    </w:p>
    <w:p>
      <w:r>
        <w:rPr>
          <w:b/>
        </w:rPr>
        <w:t>E. 6.5</w:t>
      </w:r>
    </w:p>
    <w:p>
      <w:r>
        <w:t>Es bleibt zu prüfen, ob die gesundheitlichen Beschwerden der Beschwerdeführerin ein individuelles Vollzugshindernis bilden könnten. 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(EMARK 2003 Nr. 24 E. 5a und b).</w:t>
      </w:r>
    </w:p>
    <w:p>
      <w:r>
        <w:rPr>
          <w:b/>
        </w:rPr>
        <w:t>E. 6.6</w:t>
      </w:r>
    </w:p>
    <w:p>
      <w:r>
        <w:t>Aufgrund der Akten ist davon auszugehen, dass die Beschwerdeführerin in der Lage sein wird, die in der Schweiz begonnene medizinische Behandlung im Heimatstaat fortzusetzen. In der Beschwerdeschrift werden die entsprechenden Erwägungen der angefochtenen Verfügung nicht in Frage gestellt, weshalb es sich an dieser Stelle erübrigt, weiter auf die Zumutbarkeit des Wegweisungsvollzugs unter medizinischen Aspekten weiter einzugehen. Nach dem Gesagten erweist sich Vollzug der Wegweisung auch als zumutbar.</w:t>
      </w:r>
    </w:p>
    <w:p>
      <w:r>
        <w:rPr>
          <w:b/>
        </w:rPr>
        <w:t>E. 6.7</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8.1</w:t>
      </w:r>
    </w:p>
    <w:p>
      <w:r>
        <w:t>Gemäss Art. 17b Abs. 4 AsylG erhebt das BFM eine Gebühr, wenn eine Person nach rechtskräftigem Abschluss ihres Asyl- und Wegweisungsverfahrens erneut ein Asylgesuch stellt und es dieses ablehnt oder darauf nicht eintritt, ausser die asylsuchende Person sei aus dem Heimat- oder Herkunftsstaat in die Schweiz zurückgekehrt. Die Gebühr beläuft sich auf Fr. 1'200.-- (Art. 7c Abs. 1 AsylV 1). In der angefochtenen Verfügung erhob das BFM gestützt auf die erwähnten Bestimmungen eine Gebühr in der Höhe von Fr. 1'200.--, weil es die erneuten Asylgesuche der Beschwerdeführer ablehnte.</w:t>
      </w:r>
    </w:p>
    <w:p>
      <w:r>
        <w:rPr>
          <w:b/>
        </w:rPr>
        <w:t>E. 8.2</w:t>
      </w:r>
    </w:p>
    <w:p>
      <w:r>
        <w:t>In der Beschwerde wird in diesem Zusammenhang geltend gemacht, die Vorinstanz habe den Beschwerdeführern mit angefochtenem Entscheid Verfahrenskosten in der Höhe von Fr. 1'200.-- auferlegt, obschon sie bedürftig seien und sich ihre Vorbringen nicht als von vornherein aussichtslos erwiesen hätten.</w:t>
      </w:r>
    </w:p>
    <w:p>
      <w:r>
        <w:rPr>
          <w:b/>
        </w:rPr>
        <w:t>E. 8.3</w:t>
      </w:r>
    </w:p>
    <w:p>
      <w:r>
        <w:t>Dem ist entgegen zu halten, dass das zweite Asylgesuch der Beschwerdeführer wie auch ihre Beschwerde aus den oben angeführten Gründen als aussichtslos erscheinen. Somit ist festzuhalten, dass keine Verletzung von Art. 17b Abs. 2 AsylG und Art. 29 Abs. 3 BV vorliegt und die Kostenauflage in Anbetracht des erheblichen Bearbeitungsaufwands in der Höhe von Fr. 1'200.-- gerechtfertigt war (vgl. BVGE 2008/3 E. 3 S. 27 ff.).</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Beschwerdeführern aufzuerlegen (Art. 63 Abs. 1 und 5 VwVG), auf insgesamt Fr. 600.-- festzusetzen (Art. 1 - 3 des Reglements vom 21. Februar 2008 über die Kosten und Entschädigungen vor dem Bundesverwaltungsgericht [VGKE, SR 173.320.2]) und mit dem am 28. November 2007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