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D-7546/2010 vom 28. Oktober 2010</w:t>
      </w:r>
    </w:p>
    <w:p>
      <w:r>
        <w:t>Bundesverwaltungsgericht, 2010-10-28, DE</w:t>
      </w:r>
    </w:p>
    <w:p>
      <w:r>
        <w:rPr>
          <w:b/>
        </w:rPr>
        <w:t xml:space="preserve">Quelle: </w:t>
      </w:r>
      <w:r>
        <w:t>https://mcp.opencaselaw.ch/entscheid/bvger_D-7546_2010</w:t>
      </w:r>
    </w:p>
    <w:p>
      <w:r>
        <w:t>FR: TAF D-7546/2010 du 28 octobre 2010</w:t>
      </w:r>
    </w:p>
    <w:p>
      <w:r>
        <w:t>IT: TAF D-7546/2010 del 28 ottobre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Abs. 1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insbesondere fest, der Beschwerdeführer habe anlässlich der BzP ausgeführt, er sei im März 2008 mit einem Visum in Rumänien eingereist. Er sei mit einer rumänischen Staatsbürgerin verheiratet, lebe nun aber in Scheidung; amtlich seien sie noch nicht geschieden. In Rumänien sei er in N._______ registriert und seine Aufenthaltsgenehmigung gelte noch bis zum Jahr 2014. Rumänien sei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sowie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und habe am 24. September 2010 einer Übernahme des Beschwerdeführers gestützt auf Art. 16 Abs. 1 Bst. c Dublin II Verordnung zugestimmt. Die Rückführung habe - vorbehältlich einer allfälligen Unterbrechung oder Verlängerung (Art. 19 f. Dublin II Verordnung) - bis spätestens am 24. März 2011 zu erfolgen. Dem Beschwerdeführer sei am 17. August 2010 das rechtliche Gehör zu einer allfälligen Wegweisung nach Rumänien gewährt worden. Dabei habe er geltend gemacht, Rumänien würde seine Aufenthaltsbewilligung annullieren. Er würde dort keine Unterkunft und keine Arbeit bekommen. Nach der Scheidung von seiner Frau würde er aus Rumänien nach Palästina zurückgeschickt werden. Diesbezüglich sei festzuhalten, dass Rumänien seinen aus dem Abkommen vom 28. Juli 1951 über die Rechtsstellung der Flüchtlinge (FK, SR 0.142.30) und der Konvention vom 4. November 1950 zum Schutze der Menschenrechte und Grundfreiheiten (EMRK, SR 0.101) erwachsenden Verpflichtungen nachkomme. Daher müsse der Beschwerdeführer auch nicht damit rechnen, von dort aus in einen möglichen Verfolgerstaat zurückgeschickt zu werden, wenn er eine entsprechende Gefährdung vorbringe. Betreffend der geltend gemachten fehlenden Unterstützung könne er sich an die zuständigen rumänischen Behörden wenden. Er mache somit Gründe geltend, die praxisgemäss einen Vollzug nach Rumänien nicht verhinderten. Auf das Asylgesuch sei demnach nicht einzutreten.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EMRK im Falle einer Rückkehr des Beschwerdeführers nach Rumänien. Weder die in Rumänien herrschende Situation noch andere Gründe sprächen gegen die Zumutbarkeit der Wegweisung in diesen Staat. Ausserdem sei der Vollzug der Wegweisung technisch möglich und praktisch durchführbar. Eine entsprechende Zustimmung Rumäniens liege vor. Schliesslich hätten Beschwerden gegen Nichteintretensentscheide gemäss Art. 34 Abs. 2 Bst. d AsylG gestützt auf Art. 107a AsylG keine aufschiebende Wirkung.</w:t>
      </w:r>
    </w:p>
    <w:p>
      <w:r>
        <w:rPr>
          <w:b/>
        </w:rPr>
        <w:t>E. 5.3</w:t>
      </w:r>
    </w:p>
    <w:p>
      <w:r>
        <w:t>In der Rechtsmitteleingabe machte der Beschwerdeführer als Begründung im Wesentlichen geltend, er könne nicht nach Rumänien zurückkehren, da ihm dort in seiner misslichen Situation nicht geholfen werde. Nach der Scheidung von seiner Frau werde die rumänische Regierung ihn nach Palästina oder Jordanien zurückschicken. Die Rückkehr in eines dieser beiden Länder sei für ihn gefährlich und grosse Probleme würden ihn erwarten. In Jordanien würde er inhaftiert und von dort weiter nach Israel deportiert werden, wo ihn der sichere Tod erwarte. Er möchte in der Schweiz in Frieden und Sicherheit leben können.</w:t>
      </w:r>
    </w:p>
    <w:p>
      <w:r>
        <w:rPr>
          <w:b/>
        </w:rPr>
        <w:t>E. 5.4.1</w:t>
      </w:r>
    </w:p>
    <w:p>
      <w:r>
        <w:t>Aus den Akten geht hervor, dass dem Beschwerdeführer in den Jahren 2007 beziehungsweise 2009 eine Aufenthaltsbewilligung für Rumänien ausgestellt wurde und er sich in diesem Land von 2008 bis im April 2010 mit Unterbrüchen aufhielt. Ausserdem stimmten die rumänischen Behörden mit Schreiben vom 24. September 2010 einer Übernahme des Beschwerdeführers zu. Er kann somit ohne Weiteres in den Dublin-Staat (Rumänien) ausreisen, welcher für die Prüfung seines Asylantrags staatsvertraglich zuständig ist.</w:t>
      </w:r>
    </w:p>
    <w:p>
      <w:r>
        <w:rPr>
          <w:b/>
        </w:rPr>
        <w:t>E. 5.4.2</w:t>
      </w:r>
    </w:p>
    <w:p>
      <w:r>
        <w:t>Zunächst ist darauf hinzuweisen, dass Rumänien unter anderem Signatarstaat der EMRK, der FK und des Übereinkommens vom 10. Dezember 1984 gegen Folter und andere grausame, unmenschliche oder erniedrigende Behandlung oder Strafe (FoK, SR 0.105) ist. Es bestehen keine Hinweise darauf, dass Rumänien sich nicht an die daraus resultierenden massgebenden völkerrechtlichen Bestimmungen, insbesondere an das Rückschiebungsverbot oder die einschlägigen Normen der EMRK, halten würde. Demzufolge ist - entgegen anderslautender Einschätzung des Beschwerdeführers - nicht davon auszugehen, dass die rumänischen Behörden ihn direkt nach "Palästina" oder Jordanien überstellen würden, ohne zuvor sein Asylgesuch zu prüfen. Im Weiteren ist der Umstand, in Rumänien weder eine Unterkunft noch eine Arbeit zu haben, nicht als Wegweisungshindernis zu erachten. Einerseits ist darauf hinzuweisen, dass der Beschwerdeführer in Rumänien nicht einfach auf der Strasse leben muss, da er den rumänischen Behörden übergeben wird, die damit erst die Möglichkeit haben, sich um ihn gebührend zu kümmern und sein Asylverfahren durchzuführen. Andererseits steht es ihm bei einer allfälligen Mittellosigkeit offen, sich an die dafür zuständigen Behörden beziehungsweise karitativen Organisationen zu wenden. Angesichts der gesamten Umstände erweist sich der Vollzug der Wegweisung nach Rumänien in Berücksichtigung der entscheidrelevanten Aspekte als zulässig, und es liegen auch keine anderen Gründe vor, die einer Überstellung entgegenstünden (vgl. Art. 29a Abs. 3 der Asylverordnung 1 über Verfahrensfragen [Asylverordnung 1, AsylV 1, SR 142.311]) weshalb vorliegend kein Anlass zum Selbsteintritt besteht.</w:t>
      </w:r>
    </w:p>
    <w:p>
      <w:r>
        <w:rPr>
          <w:b/>
        </w:rPr>
        <w:t>E. 6</w:t>
      </w:r>
    </w:p>
    <w:p>
      <w:r>
        <w:t>Das BFM ist in Anwendung von Art. 34 Abs. 2 Bst. d AsylG demnach zu Recht auf das Asylgesuch des Beschwerdeführers nicht eingetreten. Der sinngemässe Antrag, das BFM sei anzuweisen, sein Recht zum Selbsteintritt auszuüben und sich für vorliegendes Asylgesuch für zuständig zu erachten, ist somit abzuweisen.</w:t>
      </w:r>
    </w:p>
    <w:p>
      <w:r>
        <w:rPr>
          <w:b/>
        </w:rPr>
        <w:t>E. 7.1</w:t>
      </w:r>
    </w:p>
    <w:p>
      <w:r>
        <w:t>Das Nichteintreten auf ein Asylgesuch hat in der Regel die Wegweisung aus der Schweiz zur Folge (Art. 44 Abs. 1 AsylG). Vorliegend ist kein Grund zur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 II Verordnung).</w:t>
      </w:r>
    </w:p>
    <w:p>
      <w:r>
        <w:rPr>
          <w:b/>
        </w:rPr>
        <w:t>E. 7.3</w:t>
      </w:r>
    </w:p>
    <w:p>
      <w:r>
        <w:t>Nach dem Gesagten sind die vom BFM verfügte Wegweisung und deren Vollzug zu bestätigen.</w:t>
      </w:r>
    </w:p>
    <w:p>
      <w:r>
        <w:rPr>
          <w:b/>
        </w:rPr>
        <w:t>E. 8</w:t>
      </w:r>
    </w:p>
    <w:p>
      <w:r>
        <w:t>Dem Beschwerdeführer ist es nicht gelungen darzutun, inwiefern die angefochtene Verfügung Bundesrecht verletzt, den rechtserheblichen Sachverhalt unrichtig oder unvollständig feststellt oder unangemessen ist (Art. 106 AsylG), weshalb die Beschwerde abzuweisen ist.</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