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D-7534/2006 vom 27. August 2007</w:t>
      </w:r>
    </w:p>
    <w:p>
      <w:r>
        <w:t>Bundesverwaltungsgericht, 2007-08-27, DE</w:t>
      </w:r>
    </w:p>
    <w:p>
      <w:r>
        <w:rPr>
          <w:b/>
        </w:rPr>
        <w:t xml:space="preserve">Quelle: </w:t>
      </w:r>
      <w:r>
        <w:t>https://mcp.opencaselaw.ch/entscheid/bvger_D-7534_2006</w:t>
      </w:r>
    </w:p>
    <w:p>
      <w:r>
        <w:t>FR: TAF D-7534/2006 du 27 août 2007</w:t>
      </w:r>
    </w:p>
    <w:p>
      <w:r>
        <w:t>IT: TAF D-7534/2006 del 27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hat per 1. Januar 2007, sofern es zuständig ist, die Beurteilung der bei der ehemaligen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die Asylgesuche der Beschwerdeführer 1 und 2 ab, da ihre Vorbringen weder den Anforderungen an die Glaubhaftigkeit noch denjenigen an die Flüchtlingseigenschaft standhielten. Die Vorinstanz führte dazu im Wesentlichen aus, wenn die Beschwerdeführer 1 und 2 tatsächlich dermassen offen die PKK unterstützt hätten, wären die türkischen Behörden damals konsequent gegen jene vorgegangen, was aber nicht der Fall gewesen sei. Deshalb seien die vorgebrachten Aktivitäten Ende der 80er-Jahre nicht glaubhaft. Den Beschwerdeführern 1 und 2 seien die Vorbringen aufgrund von Widersprüchen und tatsachenwidrigen Elementen auch im deutschen Asylverfahren nicht geglaubt worden. Der Beschwerdeführer 1 berufe sich in seiner Asylbegründung auf eine gerichtliche Verurteilung des Agir Ceza Mahkemesi in E._______ vom zu vier Jahren und zwei Monaten Haft. Dieses Urteil habe er nicht beigebracht, hingegen jenes des Kassationsgerichts, welches das erstinstanzliche Urteil aber bestätigt habe. Dieses und die anderen Dokumente würden als authentisch qualifiziert. Ein Agir Ceza Mahkemesi beurteile jedoch keine Delikte politischer, sondern ausschliesslich strafrechtlicher Natur. Die vom Beschwerdeführer 1 geltend gemachte illegale Lagerung von Waffen falle in diesen Bereich. Ein Zusammenhang mit politischen Aktivitäten zu Gunsten der PKK könne dabei aber ausgeschlossen werden, zumal in diesem Falle das Staatssicherheitsgericht DGM den Fall behandelt hätte. Die Anklageschrift habe der Beschwerdeführer 1 trotz entsprechender Aufforderung nicht eingereicht, womit er zu erkennen gebe, dass er dem Urteil des Kassationsgerichts nichts Wesentliches hinzuzufügen habe. Der Beschwerdeführer sei somit nicht wegen politischer, sondern ausschliesslich wegen gemeinrechtlicher Delikte verurteilt worden, was indessen nicht asylrelevant sei. Aus dem Urteil über die provisorische Haftentlassung vom gehe hervor, dass der Beschwerdeführer 1 unter das Amnestiegesetz 4616 falle, weshalb er nach seiner anfänglichen Inhaftnahme nach seiner Rückkehr in die Türkei umgehend wieder freigelassen worden sei. Die Angelegenheit sei somit erledigt und er müsse die 1996 ausgesprochene Strafe nicht mehr verbüssen. Vor diesem Hintergrund sei das Vorbringen, er habe vernommen, gesucht zu werden, als konstruiert zu werten. Der Beschwerdeführer 3 erfülle zudem die Anforderungen an die Flüchtlingseigenschaft ebenfalls nicht, zumal er über keine eigenen Asylgründe verfüge. Insofern er sich auf die vom Vater geltend gemachte Verfolgung beziehe, sei festzuhalten, dass dieser keiner Gefährdung im Sinne von Art. 3 AsylG ausgesetzt gewesen sei, weshalb nicht von einer Reflexverfolgung auszugehen sei.</w:t>
      </w:r>
    </w:p>
    <w:p>
      <w:r>
        <w:rPr>
          <w:b/>
        </w:rPr>
        <w:t>E. 4.2.1</w:t>
      </w:r>
    </w:p>
    <w:p>
      <w:r>
        <w:t>In der Rechtsmitteleingabe wird gerügt, die Vorinstanz habe den Beschwerdeführern 1 bis 3 zu Unrecht kein Asyl gewährt und damit Bundesrecht verletzt. Die Ausführungen in der Beschwerde sowie die eingereichten Dokumente erweisen sich jedoch nach einer Prüfung der vorliegenden Akten als nicht geeignet, um die Schlussfolgerungen des Bundesamtes zu entkräften. So ist mit der Vorinstanz noch einmal zu betonen, dass die vorgebrachten Aktivitäten für die PKK aus den vom Bundesamt dargelegten Gründen als nicht glaubhaft zu werten sind. Dieser Schluss wird dadurch untermauert, dass in der Beschwerdeeingabe geltend gemacht wird, die Beschwerdeführerin 2 sei mehrfach verhaftet und misshandelt worden. Anlässlich der Empfangsstellenbefragung gab die Beschwerdeführerin 2 demgegenüber zu Protokoll, bis 1994 zwei- bis dreimal vier bis fünf Tage in Untersuchungshaft gewesen (vgl. A 3, S. 4), respektive im Januar und Februar 1994 sechs und sieben Tage inhaftiert und gefoltert worden zu sein (vgl. A 10, S. 15). Auch der Beschwerdeführer 1 machte geltend, seine Frau sei zweimal im Jahre 1994 festgenommen worden (vgl. A 9, S. 13 f.). Dadurch, dass in der Beschwerde durch den Ausdruck "mehrfach" suggeriert wird, die Beschwerdeführerin 2 sei häufiger als zwei-, dreimal verhaftet worden, werden die Zweifel am Wahrheitsgehalt dieser Vorbringen, mindestens aber an der geltend gemachten Intensität der Behelligungen verstärkt. Es wird in der Beschwerde der Eindruck erweckt, mit der Steigerung der angeblichen Verhaftungen von zwei-, dreimal auf eine unbestimmte, mehrfache Anzahl, wollten die Beschwerdeführer 1 und 2 ihren Vorbringen noch mehr Gewicht verleihen. Im Rahmen des Beschwerdeverfahrens wurden sodann auf entsprechende Aufforderung hin je ein Bestätigungsschreiben des Anwalts H._______ vom mit deutscher Übersetzung sowie des "Zeugen" G._______ aus I._______, datierend vom , eingereicht. G._______. bestätigt unter anderem, er habe 1996 während eines kurzen Aufenthalts im Dorf erfahren, dass der Beschwerdeführer von den Sicherheitskräften festgenommen worden sei, weil er Waffen von PKK-Mitgliedern bei sich versteckt habe. Der Anwalt erklärt in seinem Schreiben, er habe den Fall des Beschwerdeführers nach dessen Festnahme übernommen. Es sei ihm und dem Beschwerdeführer gelungen, die Untersuchungsbehörden zu überzeugen, dass die beschlagnahmten Waffen (AK-47, Kalaschnikow) nicht der PKK gehört hätten, sondern dass der Beschwerdeführer diese zum persönlichen Schutz gebraucht habe. Deshalb sei das Verfahren nicht vor dem Staatssicherheitsgericht, sondern vor dem Schwurgericht durchgeführt worden. Dementsprechend sei das Strafmass niedrig gewesen. Falls ein neues Verfahren gegen den Beschwerdeführer eröffnet werden sollte, könnte aber ein härteres Strafmass gegen ihn ausgesprochen werden. Diesbezüglich hielt das BFM in seiner Vernehmlassung fest, es erscheine als äusserst zweifelhaft, dass der Beschwerdeführer die Polizei und die zuständige Gerichtsbehörde mit dieser Erklärung von seiner "Unschuld" habe überzeugen können. Der Beschwerdeführer sei für seinen persönlichen Schutz sicherlich nicht auf eine ganze Ladung von automatischen Waffen (Kalaschnikows) angewiesen gewesen. Dies hätte ihm kein türkisches Gericht geglaubt. Bekanntlich würden Beschuldigungen im Zusamenhang mit PKK-Aktivitäten mit äusserster Akribie überprüft und bereits beim Vorliegen eines geringen Verdachts an das Staatssicherheitsgericht überwiesen. G._______ bestätige zwar zudem schriftlich, dass der Grund für die Festnahme (Aufbewahrung von PKK-Waffen) auch der Dorfbevölkerung bekannt gewesen sei. Wenn dies so gewesen wäre, hätte das Gerichtsverfahren aber einen ganz anderen Verlauf genommen und der Beschwerdeführer wäre vom Staatsicherheitsgericht zu einer schweren Strafe verurteilt worden. Das dem Beschwerdeführer zur Last gelegt Delikt (illegaler Waffenbesitz) sei vom Strafgericht und nicht vom Staatssicherheitsgericht beurteilt worden. Das Vergehen des Beschwerdeführers habe demzufolge keinen politischen Hintergrund gehabt. Der Beschwerdeführer sei nach der Rückkehr aus Deutschland ein paar Tage inhaftiert gewesen, sei aber aufgrund eines Amnestiegesetzes rasch freigelassen worden und habe die 1996 ausgesprochene Strafe nicht verbüssen müssen. Offenbar sei auch dem türkischen Anwalt des Beschwerdeführers nichts über die Eröffnung eines neuen Verfahrens bekannt. Dazu würden in der Tat keine Gründe vorliegen. Somit sei nach wie vor nicht von einer Gefährdung des Beschwerdeführers in seinem Heimatland auszugehen. Dieser Einschätzung der Vorinstanz in ihrer Vernehmlassung schliesst sich das Bundesverwaltungsgericht vollumfänglich an. Darüber hinaus fällt auf, dass der Beschwerdeführer 1 anlässlich der Befragungen zu Protokoll gab, die für die PKK bestimmten Gegenstände seien bei D._______ gefunden worden, woraufhin dieser den Beschwerdeführer 1 anlässlich eines Verhörs verraten habe (vgl. A 9, S. 10), und auch in der Beschwerde wird angeführt, die Waffen seien bei D._______ gefunden worden. Der Anwalt H._______ führt in seinem Schreiben vom im Widerspruch dazu aber aus, die Waffen seien im Haus des Beschwerdeführers 1 aufgefunden worden. Dies verstärkt die erheblichen Zweifel an den geltend gemachten Aktivitäten für die PKK und den damit im Zusammenhang stehenden angeblich politischen Hintergrund des Strafverfahrens noch zusätzlich. Die auf Beschwerdeebene eingereichten Bestätigungsschreiben sind vor diesem Hintergrund als blosse Gefälligkeitsschreiben ohne Beweiswert zu qualifizieren.</w:t>
      </w:r>
    </w:p>
    <w:p>
      <w:r>
        <w:rPr>
          <w:b/>
        </w:rPr>
        <w:t>E. 4.2.2</w:t>
      </w:r>
    </w:p>
    <w:p>
      <w:r>
        <w:t>In der Beschwerde wird sodann die Verletzung des Untersuchungsgrundsatzes und des rechtlichen Gehörs gerügt. Hiezu ist festzuhalten, dass die behördliche Untersuchungspflicht im Asylverfahren (Art. 12 VwVG i.V.m. Art. 6 AsylG) nicht uneingeschränkt gilt, sondern eng mit der Mitwirkungspflicht der Asylsuchenden im Sinne von Art. 8 Abs. 1 AsylG korreliert. Für das Bundesverwaltungsgericht besteht insbesondere keine Pflicht, über die Vorbringen der Beschwerde führenden Seite hinaus den Sachverhalt vollkommen neu zu erforschen, sondern es kann sich vielmehr darauf beschränken, die Stichhaltigkeit der betreffenden Vorbringen zu prüfen, es sei denn, bereits die vorinstanzlichen Akten oder aber die Ausführungen in der Beschwerdeschrift legten zusätzliche Abklärungen zum Sachverhalt nahe (vgl. Entscheidungen und Mitteilungen der ARK [EMARK] 1995 Nr. 23 E. 5a S. 222 f., BGE 110 V 52 f., Verwaltungspraxis der Bundesbehörden [VPB] 61 [1997] Nr. 31 E. 3.3.3., Alfred Kölz/Isabelle Häner, Verwaltungsverfahren und Verwaltungsrechtspflege des Bundes, 2. Aufl., Zürich 1998, Rz. 603, 675 f.; Ulrich Häfelin/Georg Müller, Allgemeines Verwaltungsrecht, 4. Aufl., Zürich 2002, Rz. 1625). Asylsuchende sind einerseits nach Art. 8 Abs. 1 AsylG zur Mitwirkung an der Feststellung des Sachverhalts verpflichtet, andererseits haben sie aber auch einen Anspruch darauf, was sich unmittelbar aus dem Anspruch auf rechtliches Gehör nach Art. 29 Abs. 2 BV ergibt. Insbesondere sind sie nach Art. 33 Abs. 1 VwVG berechtigt, Beweise anzubieten, welche grundsätzlich im Rahmen der Gewährung des rechtlichen Gehörs auch abzunehmen sind, soweit der zu beweisende Sachverhalt rechtserheblich ist. Die Behörde darf aber - im Sinne einer antizipierten Beweiswürdigung - von einer Abnahme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Kölz/Häner, a.a.O., Rz. 111, 271 und 320; EMARK 2003 Nr. 13 E. 4c S. 83 f., EMARK 1995 Nr. 23 E. 5b S. 223). Von einer Verletzung des Untersuchungsgrundsatzes durch die Vorinstanz kann beim vorliegenden Sachverhalt nicht die Rede sein, zumal ein politischer Hintergrund der Verurteilung des Beschwerdeführers aufgrund der von ihm selbst eingereichten türkischen Strafverfahrensdokumente - wie oben dargelegt - ausgeschlossen werden kann. Diese lassen jeglichen Hinweis auf eine politisch motivierte Verurteilung des Beschwerdeführers vermissen. G._______ und der Anwalt des Beschwerdeführers 1 wurden nicht in einem förmlichen Verfahren einvernommen. Deren Schreiben haben lediglich die Qualität von schriftlichen Auskünften Dritter. Der Inhalt dieser Schreiben vermag indes - wie oben festgehalten wurde - nicht zu überzeugen, zumal eine politische Verfolgung des Beschwerdeführers 1 sich aus den von diesem selbst eingereichten Dokumenten des ihn betreffenden türkischen Strafverfahrens nicht entnehmen lässt. Es besteht deshalb kein Anlass, diese Personen als Zeugen einzuvernehmen, zumal der entscheidwesentliche Sachverhalt nach dem Gesagten erstellt ist (vgl. Art. 14 Abs. 1 VwVG).</w:t>
      </w:r>
    </w:p>
    <w:p>
      <w:r>
        <w:rPr>
          <w:b/>
        </w:rPr>
        <w:t>E. 4.2.3</w:t>
      </w:r>
    </w:p>
    <w:p>
      <w:r>
        <w:t>Zusammenfassend ist festzuhalten, dass es den Beschwerdeführern 1 und 2 nicht gelungen ist, eine in der Vergangenheit aus den in Art. 3 AsylG aufgezählten Gründen erlittene Verfolgung glaubhaft zu machen, zumal die erfolgte Verurteilung des Beschwerdeführers 1 wegen illegalen Waffenbesitzes einer politischen Verfolgungsmotivation entbehrt und folglich als legitim zu bezeichnen ist. Die Beschwerdeführer 1 und 2 können auch keine begründete Furcht vor asylrechtlich relevanter Verfolgung glaubhaft machen, zumal der Beschwerdeführer 1 für das vorerwähnte Delikt amnestiert wurde, folglich er mit keiner Fahndung mehr rechnen muss und die geltend gemachten Aktivitäten für die PKK unglaubhaft sind. Es sind daher auch keine Gründe ersichtlich, weshalb der Beschwerdeführer 3, welcher keine eigenen behördlichen Probleme geltend machte, sondern wegen des Vaters als Minderjähriger nach Deutschland und später auch in die Schweiz gereist ist (vgl. A 1, S. 4 f.), bei einer Rückkehr einer asylrelevanten Verfolgung ausgesetzt sein könnte. Es kann im Übrigen auf die zutreffenden Erwägungen der Vorinstanz in den Verfügungen und Vernehmlassungen verwiesen werden, ohne auf die weiteren Ausführungen in der Beschwerde einzugehen, welche am Ergebnis nichts zu ändern vermögen, zumal im Wesentlichen die Vorbringen wiederholt werden und auf deren asylrechtlicher Relevanz beharrt wird.</w:t>
      </w:r>
    </w:p>
    <w:p>
      <w:r>
        <w:rPr>
          <w:b/>
        </w:rPr>
        <w:t>E. 4.3</w:t>
      </w:r>
    </w:p>
    <w:p>
      <w:r>
        <w:t>Nach dem Gesagten ist festzustellen, dass die Beschwerdeführer 1 bis 3 keine Verfolgung im Sinne von Art. 3 AsylG glaubhaft machen oder nachweisen und sie nicht als Flüchtlinge anerkannt werden können. Mangels erfüllter Flüchtlingseigenschaft ist ihnen zu Recht das nachgesuchte Asyl nicht gewährt worden.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Die Beschwerdeführer verfügen weder über eine fremdenpolizeiliche Aufenthaltsbewilligung noch einen Anspruch auf Erteilung einer solchen. Die Wegweisung wurde demnach zu Recht angeordnet (Art. 44 Abs. 1 AsylG; EMARK 2001 Nr. 21).</w:t>
      </w:r>
    </w:p>
    <w:p>
      <w:r>
        <w:rPr>
          <w:b/>
        </w:rPr>
        <w:t>E. 5.6</w:t>
      </w:r>
    </w:p>
    <w:p>
      <w:r>
        <w:t>Die Vorinstanz wies in ihren angefochtenen Verfügungen zutreffend darauf hin, dass der Grundsatz der Nichtrückschiebung nur Personen schützt, die die Flüchtlingseigenschaft erfüllen (vgl. Mario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w:t>
      </w:r>
    </w:p>
    <w:p>
      <w:r>
        <w:rPr>
          <w:b/>
        </w:rPr>
        <w:t>E. 5.7</w:t>
      </w:r>
    </w:p>
    <w:p>
      <w:r>
        <w:t>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EMARK 2001 Nr. 16, S. 122, m.w.H.). Die allgemeine Menschenrechtssituation in ihrem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erhältlichen medizinischen Behandlung, angenommen werden (vgl. Botschaft zum Bundesbeschluss über das Asylverfahren vom 22. Juni 1990, BBl 1990 II 668).</w:t>
      </w:r>
    </w:p>
    <w:p>
      <w:r>
        <w:rPr>
          <w:b/>
        </w:rPr>
        <w:t>E. 5.9</w:t>
      </w:r>
    </w:p>
    <w:p>
      <w:r>
        <w:t>Eine Situation, welche die Beschwerdeführer 1 bis 3 als "Gewalt- oder de-facto-Flüchtling" qualifizieren würde, lässt sich aufgrund der heutigen Situation in der Türkei nicht in genereller Form bejahen. Im Jahr 2004 beurteilte die ARK die Situation in den südöstlichen Provinzen der Türkei neu (vgl. EMARK 2004 Nr. 8). Die ARK kam zum Schluss, dass unter Berücksichtigung der neu gewürdigten Umstände nicht mehr von einer generellen Unzumutbarkeit der Rückkehr in die südöstlichen Provinzen der Türkei ausgegangen werden muss. Diese Beurteilung hat auch für das Bundesverwaltungsgericht Gültigkeit.</w:t>
      </w:r>
    </w:p>
    <w:p>
      <w:r>
        <w:rPr>
          <w:b/>
        </w:rPr>
        <w:t>E. 5.10</w:t>
      </w:r>
    </w:p>
    <w:p>
      <w:r>
        <w:t>Es sind aus den Akten auch keine individuellen Gründen gegen die Zumutbarkeit des Wegweisungsvollzugs der Beschwerdeführer 1 bis 3 ersichtlich, welche über Verwandte und Freunde im Heimatstaat verfügen (vgl. vgl. A 3, S. 2; A 9, S. 4 f.), die sie bei ihrer Wiedereingliederung unterstützen können. Der Beschwerdeführer 1 hat zudem die Möglichkeit, wie schon vor seiner Ausreise wieder als J._______ und K._______ tätig zu sein (vgl. A 9, S. 5). Zudem sollte die jahrelange schulische Ausbildung des Beschwerdeführers 3 in Deutschland und die Berufsschule (vgl. A 8, S. 5) diesem helfen, sich in der Türkei ein wirtschaftliches Auskommen zu sichern. Auch sind schliesslich im vorliegenden Verfahren keine gesundheitlichen Probleme der Beschwerdeführer 1 bis 3 aktenkundig, welche gegen die Zumutbarkeit des Wegweisungsvollzugs sprechen könnten.</w:t>
      </w:r>
    </w:p>
    <w:p>
      <w:r>
        <w:rPr>
          <w:b/>
        </w:rPr>
        <w:t>E. 5.11</w:t>
      </w:r>
    </w:p>
    <w:p>
      <w:r>
        <w:t>Nach dem Gesagten ist der Vollzug der Wegweisung somit als zumutbar zu bezeichnen.</w:t>
      </w:r>
    </w:p>
    <w:p>
      <w:r>
        <w:rPr>
          <w:b/>
        </w:rPr>
        <w:t>E. 5.12</w:t>
      </w:r>
    </w:p>
    <w:p>
      <w:r>
        <w:t>Schliesslich obliegt es den Beschwerdeführern, sich bei der zuständigen Vertretung ihres Heimatstaates die für eine Rückkehr notwendigen Reisedokumente zu beschaffen (Art. 8 Abs. 4 AsylG), weshalb der Vollzug der Wegweisung auch als möglich zu bezeichnen ist.</w:t>
      </w:r>
    </w:p>
    <w:p>
      <w:r>
        <w:rPr>
          <w:b/>
        </w:rPr>
        <w:t>E. 5.13</w:t>
      </w:r>
    </w:p>
    <w:p>
      <w:r>
        <w:t>Insgesamt sind die durch die Vorinstanz verfügten Wegweisungen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angefochtenen Verfügungen Bundesrecht nicht verletzen, den rechtserheblichen Sachverhalt richtig und vollständig feststellen und angemessen sind (Art. 106 AsylG). Die Beschwerde ist nach dem Gesagten abzuweisen.</w:t>
      </w:r>
    </w:p>
    <w:p>
      <w:r>
        <w:rPr>
          <w:b/>
        </w:rPr>
        <w:t>E. 7</w:t>
      </w:r>
    </w:p>
    <w:p>
      <w:r>
        <w:t>Bei diesem Ausgang des Verfahrens sind die Kosten den Beschwerdeführern aufzuerlegen (Art. 63 Abs. 1 VwVG), auf insgesamt Fr. 800.-- festzusetzen (Art. 16 Abs. 1 Bst. a VGG i.V.m. Art. 2 und 3 des Reglements vom 11. Dezember 2006 über die Kosten und Entschädigungen vor dem Bundesverwaltungsgericht [VGKE, SR 173.320.2]) und mit dem am 8. Dezember 2004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