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D-7532/2015 vom 21. Dezember 2015</w:t>
      </w:r>
    </w:p>
    <w:p>
      <w:r>
        <w:t>Bundesverwaltungsgericht, 2015-12-21, DE</w:t>
      </w:r>
    </w:p>
    <w:p>
      <w:r>
        <w:rPr>
          <w:b/>
        </w:rPr>
        <w:t xml:space="preserve">Quelle: </w:t>
      </w:r>
      <w:r>
        <w:t>https://mcp.opencaselaw.ch/entscheid/bvger_D-7532_2015</w:t>
      </w:r>
    </w:p>
    <w:p>
      <w:r>
        <w:t>FR: TAF D-7532/2015 du 21 décembre 2015</w:t>
      </w:r>
    </w:p>
    <w:p>
      <w:r>
        <w:t>IT: TAF D-7532/2015 del 21 dicembre 2015</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(Dispositivziffern 4 und 5 der vorinstanzlichen Verfügung). Die Verneinung der Flüchtlingseigenschaft, die Ablehnung der Asylgesuche und die Anordnung der Wegweisung (Dispositivziffern 1 bis 3 der vor­instanzlichen Verfügung) blieben hingegen unangefochten und sind damit in Rechtskraft erwachsen. Die (teilweise) Wiederholung der Asylvorbringen in der Eingabe vom 8. Dezember 2015 ändert daran nichts. Gegenstand des vorliegenden Beschwerdeverfahrens bildet deshalb einzig die Frage, ob der Wegweisungsvollzug vom SEM zu Recht als durchführbar bezeichnet wurde.</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gemäss Art. 3 AsylG respektive Art. 1A FK erfüllen. Nachdem in der Verfügung vom 11. November 2015 rechtskräftig festgestellt wurde, dass die Beschwerdeführenden die Flüchtlingseigenschaft gemäss Art. 3 AsylG nicht erfüllen, kann der in Art. 5 AsylG verankerte Grundsatz der Nichtrückschiebung im vorliegenden Verfahren keine Anwendung finden. Der Vollzug der Wegweisung der Beschwerdeführenden nach Bosnien und Herzegowina ist demnach unter dem Aspekt von Art. 5 AsylG rechtmässig.</w:t>
      </w:r>
    </w:p>
    <w:p>
      <w:r>
        <w:rPr>
          <w:b/>
        </w:rPr>
        <w:t>E. 5.1.2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der Beschwerdeführenden noch aus den Akten ergeben sich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besteht kein konkreter Anlass zur Annahme, den Beschwerdeführenden, die keine asylrechtlich beachtliche Verfolgung darzulegen vermochten, würde bei einer Rückkehr in ihr Heimatland eine menschenrechtswidrige Behandlung drohen. Auch die allgemeine Menschenrechtssituation in Bosnien und Herzegowina lässt den Wegweisungsvollzug zum heutigen Zeitpunkt klarerweise nicht als unzulässig erscheinen.</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In Bosnien und Herzegowina, das der Bundesrat als verfolgungssicheren Herkunftsstaat (safe country) im Sinne von Art. 6a Abs. 2 Bst. a AsylG erklärt hat, herrscht keine Situation allgemeiner Gewalt.</w:t>
      </w:r>
    </w:p>
    <w:p>
      <w:r>
        <w:rPr>
          <w:b/>
        </w:rPr>
        <w:t>E. 5.2.2</w:t>
      </w:r>
    </w:p>
    <w:p>
      <w:r>
        <w:t>In den Akten finden sich auch keine konkreten Anhaltspunkte dafür, dass die Beschwerdeführenden aus individuellen Gründen wirtschaftlicher, sozialer oder gesundheitlicher Natur bei einer Rückkehr in ihr Heimatland in eine existenzbedrohende Situation geraten würden, die als konkrete Gefährdung im Sinne der zu beachtenden Bestimmungen zu werten wäre (Art. 83 Abs. 4 AuG).</w:t>
      </w:r>
    </w:p>
    <w:p>
      <w:r>
        <w:rPr>
          <w:b/>
        </w:rPr>
        <w:t>E. 5.2.2.1</w:t>
      </w:r>
    </w:p>
    <w:p>
      <w:r>
        <w:t>Die Beschwerdeführenden verfügen im Heimatstaat über familiäre Beziehungsnetze, die ihnen - wenn auch örtlich durch wenige Kilometer getrennte - unentgeltliche Wohnmöglichkeiten bieten. Es darf auch davon ausgegangen werden, dass der Beschwerdeführer, der eine (...) Schulbildung, eine Ausbildung zum (...), Arbeitserfahrung in verschiedenen Handwerksbereichen und als (...) sowie sehr gute (Fremdsprachenkenntnisse) vorweist (vgl. A3 S. 4), weiterhin in der Lage sein wird, ein, wenn auch bescheidenes, Einkommen zu erzielen. Allenfalls wird auch die Beschwerdeführerin, die über eine (...) Schulbildung und eine Ausbildung als (...) verfügt (vgl. A4 S. 4), wieder einen Beitrag zu den Lebenshaltungskosten beisteuern können. Im Übrigen stehen allfällige wirtschaftliche Reintegrationsschwierigkeiten dem Vollzug nicht entgegen, da blosse soziale oder wirtschaftliche Schwierigkeiten, von denen die ansässige Bevölkerung im Allgemeinen betroffen ist (bspw. Mangel an Arbeitsplätzen), keine existenzbedrohende Situation zu begründen vermögen (vgl. BVGE 2008/34 E. 11.2.2).</w:t>
      </w:r>
    </w:p>
    <w:p>
      <w:r>
        <w:rPr>
          <w:b/>
        </w:rPr>
        <w:t>E. 5.2.2.2</w:t>
      </w:r>
    </w:p>
    <w:p>
      <w:r>
        <w:t>Hinsichtlich der vorgebrachen gesundheitlichen Probleme der Beschwerdeführerin (...) und der Tochter (...) ist festzustellen, dass bei einer Erkrankung nur dann auf Unzumutbarkeit des Wegweisungsvollzug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Heimatstaat eine nicht dem schweizerischen Standard entsprechende medizinische Behandlung möglich ist (vgl. BVGE 2011/50 E. 8.3; 2009/2 E. 9.3.2). Bezüglich der Tochter zeigen die Akten, dass die Krankheit im Heimatland diagnostiziert, das Kind hospitalisiert und behandelt wurde, sowie entsprechende Kontrolltermine angesetzt und zukünftige Präventions- und Behandlungsmassnahmen aufgezeigt wurden (regelmässige [...-]kontrollen, Medikamentenabgabe bei erneuten Infektionen). Das Nichtwahrnehmen des neuerlichen Kontrolltermins bei den heimatlichen Ärzten im November 2015 und damit der durch die Beschwerdeführenden verursachte Abbruch der laufenden Behandlung kann nicht zur Annahme führen, der Tochter komme in Bosnien und Herzegowina keine adäquate Betreuung zuteil. Vielmehr ist aufgrund der Aktenlage der Schluss zu ziehen, dass auch die weitere Behandlung in Bosnien und Herzegowina durchführbar sein sollte. So sind denn in den Krankenhäusern der dortigen grösseren Städte die Möglichkeiten vorhanden, alle üblichen medizinischen Behandlungen und Eingriffe vorzunehmen (vgl. hierzu bspw. Urteile des BVGer D-3960/2015 vom 7. September 2015, D-1498/2014 vom 6. August 2014, D-1645/2014 vom 7. April 2014, D-7186/2013 vom 18. Februar 2014). Allein ein tieferes Niveau der Behandlungsmöglichkeiten im Herkunftsland als in der Schweiz vermag - wie bereits erwähnt - noch nicht die Unzumutbarkeit des Vollzugs zu begründen. Bezüglich des geäusserten Wunschs um weitere Behandlung der Tochter in der Schweiz ist darauf hinzuweisen, dass der EGMR grundsätzlich keinen durch die EMRK geschützten Anspruch auf Verbleib in einem Konventionsstaat anerkennt, um weiterhin in den Genuss medizinischer Unterstützung zu kommen (vgl. Entscheid i.S. D. gegen Vereinigtes Königreich vom 2. Mai 1997). Im Übrigen ergibt sich aus den Akten keine akute Behandlungsdringlichkeit. Auch die gesundheitlichen Probleme der Beschwerdeführerin (...) vermögen nicht gegen die Zumutbarkeit des Wegweisungsvollzugs zu sprechen. Sie hatte im Heimatstaat gemäss eigenen Angaben ebenfalls Zugang zu entsprechender ärztlicher Versorgung und wurde mehrfach, sowohl medikamentös als auch (...), behandelt. Anhaltspunkte, dass dies im Bedarfsfall zukünftig nicht mehr der Fall sein sollte, liegen keine vor. Das Bundesverwaltungsgericht hat denn auch verschiedentlich festgestellt, dass in Bosnien und Herzegowina Behandlungsmöglichkeiten bei psychischen Erkrankungen vorhanden sind (vgl. hierzu bspw. Urteile des BVGer D-3960/2015 vom 7. September 2015, E-4837/2013 vom 6. September 2013). Bezüglich des Einwands fehlender Mittel zur Finanzierung weiterer Behandlungen ist auf die - bereits vom SEM erwähnte - Möglichkeit flankierender Massnahmen und individueller medizinischer Rückkehrhilfe hinzuweisen, die nicht nur in der Form der Mitgabe von Medikamenten, sondern beispielsweise auch der befristeten Organisation und Übernahme von Kosten für notwendige Therapien bestehen kann (Art. 93 Abs. 1 Bst. d AsylG, Art. 75 der Asylverordnung 2 vom 11. August 1999 über Finanzierungsfragen [AsylV 2, SR 142.312]). Im Übrigen ist der Wegweisungsvollzug auch zumutbar, wenn die medizinische Behandlung nicht für eine längere Dauer sichergestellt ist und der Betroffene einer Erwerbstätigkeit nachgehen kann (vgl. BVGE 2009/2 E. 9.3.4). Dies darf dem Beschwerdeführer, der Arbeitserfahrung als Handwerker und (...) aufweist, zugemutet werden. Des Weiteren obliegt es den Beschwerdeführenden, bei Bedarf bei den zuständigen heimatlichen Behörden um Unterstützung zu ersuchen.</w:t>
      </w:r>
    </w:p>
    <w:p>
      <w:r>
        <w:rPr>
          <w:b/>
        </w:rPr>
        <w:t>E. 5.2.2.3</w:t>
      </w:r>
    </w:p>
    <w:p>
      <w:r>
        <w:t>Ohne die Schwierigkeiten bei einer Rückkehr der Beschwerdeführenden zu verkennen, erweist sich der Vollzug der Wegweisung damit als zumutbar.</w:t>
      </w:r>
    </w:p>
    <w:p>
      <w:r>
        <w:rPr>
          <w:b/>
        </w:rPr>
        <w:t>E. 5.3</w:t>
      </w:r>
    </w:p>
    <w:p>
      <w:r>
        <w:t>Der Wegweisungsvollzug ist schliesslich auch als möglich zu bezeichnen, da keine Vollzugshindernisse bestehen (Art. 83 Abs. 2 AuG), und es den - teils über gültige Identitätskarten verfügenden - Beschwerdeführenden obliegt, sich bei der zuständigen Vertretung des Heimatstaats die für eine Rückkehr allenfalls notwendigen Reisedokumente zu beschaffen (Art. 8 Abs. 4 AsylG; vgl. dazu auch BVGE 2008/34 E. 12).</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Das in der Eingabe vom 8. Dezember 2015 sinngemäss gestellte Gesuch um Gewährung der unentgeltlichen Prozessführung gemäss Art. 65 Abs. 1 VwVG ist abzuweisen, da die Begehren - wie sich aus den vorstehenden Erwägungen ergibt - als aussichtslos zu bezeichnen waren, weshalb die Voraussetzungen von Art. 65 Abs. 1 VwVG nicht erfüllt sind.</w:t>
      </w:r>
    </w:p>
    <w:p>
      <w:r>
        <w:rPr>
          <w:b/>
        </w:rPr>
        <w:t>E. 7.2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