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D-74/2011 vom 18. Januar 2011</w:t>
      </w:r>
    </w:p>
    <w:p>
      <w:r>
        <w:t>Bundesverwaltungsgericht, 2011-01-18, DE</w:t>
      </w:r>
    </w:p>
    <w:p>
      <w:r>
        <w:rPr>
          <w:b/>
        </w:rPr>
        <w:t xml:space="preserve">Quelle: </w:t>
      </w:r>
      <w:r>
        <w:t>https://mcp.opencaselaw.ch/entscheid/bvger_D-74_2011</w:t>
      </w:r>
    </w:p>
    <w:p>
      <w:r>
        <w:t>FR: TAF D-74/2011 du 18 janvier 2011</w:t>
      </w:r>
    </w:p>
    <w:p>
      <w:r>
        <w:t>IT: TAF D-74/2011 del 18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2.1</w:t>
      </w:r>
    </w:p>
    <w:p>
      <w:r>
        <w:t>Der Zeitpunkt der Eröffnung der angefochtenen Verfügung steht mangels Rückscheins bei den Akten nicht fest. Da die vorinstanzliche Verfügung vom 22. November 2010 datiert und die Beschwerde am 21. Dezember 2010 bei der Botschaft einging, kann indes ohne Weiteres von der Frist­wahrung ausgegangen werden.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vorliegend auf die Durch­füh­rung des Schriftenwechsels verzichtet.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6.1</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w:t>
      </w:r>
    </w:p>
    <w:p>
      <w:r>
        <w:rPr>
          <w:b/>
        </w:rPr>
        <w:t>E. 6.2</w:t>
      </w:r>
    </w:p>
    <w:p>
      <w:r>
        <w:t>Vorliegend ging das BFM offenbar davon aus, der Sachverhalt sei schon aufgrund der schriftlichen Eingaben entscheidreif erstellt. Diese Sichtweise erscheint als vertretbar, sind doch besagte Eingaben relativ detailliert und klar formuliert. Unter diesen Umständen erübrigte sich für die Vor­instanz die Aufbietung des Beschwerdeführers zu einer Befragung, auch wenn er im Rahmen des rechtlichen Gehörs eine solche beantragt hatte. Da den vom Bundesverwaltungs­gericht ferner aufgeführten Er­for­dernissen (Gewährung des recht­lichen Gehörs; Begründung des Ver­zichts auf eine Befragung) eben­falls Rechnung getragen wurde, ist die Vorgehensweise des BFM nicht zu beanstanden.</w:t>
      </w:r>
    </w:p>
    <w:p>
      <w:r>
        <w:rPr>
          <w:b/>
        </w:rPr>
        <w:t>E. 7.1</w:t>
      </w:r>
    </w:p>
    <w:p>
      <w:r>
        <w:t>Das BFM hat die vom Beschwerdeführer geltend gemachte Befra­gung beim CID in _______ für glaubhaft erachtet. Dabei soll er grob be­handelt, aber noch am selben Tag wieder freigelassen worden sein. Die­ser Vorfall wurde vom BFM mangels Eingriffsintensität zu Recht als nicht asylrelevant erachtet, zumal den Akten zufolge damit keine Ein­leitung ei­nes eigentlichen Ermittlungsverfahrens verbunden gewesen sein soll. Dass er in der Folge erneut und zielgerichtet in den Fokus staatlicher Be­hörden geraten und deshalb allenfalls auf den Schutz der Schweiz ange­wiesen (gewesen) wäre, kann den vorhandenen Akten nicht ent­nommen werden. Dies umso weniger, als er auch in der Eingabe vom 30. Sep­tem­ber 2010 keine eigenen oder politische Aktivitäten von nahen Ange­hö­ri­gen geltend macht und eine andauernde behördliche Verfolgungs­moti­va­tion allein wegen des Telefonanrufs aus dem _______-Gebiet als realitäts­fremd erscheint. Abgesehen davon wurde ihm am 8. September 2008 offenbar ein srilankischer Reisepass mit zehnjähriger Gültigkeit ausge­stellt. Es mag zwar zutreffen, dass Unbekannte mit ver-dächtigen Fahr­zeugen vor dem elterlichen Haus und anderen Unterkünften des Be­schwerdeführers auftauchten und (aus welchen Gründen auch immer) so­gar Erkundigungen einzogen. Die subjektive Angst des Beschwerde­füh­rers vor einer Entführung erscheint so (zumindest für den Zeitraum des Bürgerkrieges) als nachvollziehbar; in objektiver Hinsicht verweist das BFM aber zu Recht auf gewisse Verbesserungen der Sicherheitslage seit Ende des Bürgerkriegs, und der Beschwerdeführer räumt in seiner Ein­ga­be vom 9. Dezember 2010 ein, dass die Anzahl der Entführungen zurück­gegangen sei. Er erwähnt zwar eine andauernde Suchen nach ihm, ohne diese aber für das Jahr 2010 zu konkretisieren. Dass er im aktuellen Mo­ment landesweit mit beachtlicher Wahrscheinlichkeit Opfer einer Ent­füh­rung werden könnte, ist somit und wiederum auch in Beachtung des ge­mäss Aktenlage fehlenden po­litischen Profils nicht evident. Abgesehen davon steht ihm grundsätzlich offen, ausserhalb des von ihm offenbar als besonders risikoreich empfundenen Gebiets Wohnsitz zu nehmen. Schliesslich ist die vom BFM vorgenommene Würdigung der im vor­instanzlichen Ver­fahren eingereichten Beweismittel (darunter ein Polizei­dokument und drei weitere Schreiben) zu teilen, da sie eine konkret dro­hende Gefahr für den Beschwerdeführer nicht hinreichend zu belegen vermögen.</w:t>
      </w:r>
    </w:p>
    <w:p>
      <w:r>
        <w:rPr>
          <w:b/>
        </w:rPr>
        <w:t>E. 7.2</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Entsprechend vermögen die weiteren Aus­führungen des Be­schwerdeführers in den Eingaben zur generellen Gefährdungssituation seiner Person nicht zur Anerkennung der Flüchtlingseigen­schaft zu füh­ren. Er vermag mithin nicht substanziiert dar­zutun, inwiefern das BFM zu Unrecht geschlossen habe, er sei nicht schutzbedürftig im Sinne des AsylG.</w:t>
      </w:r>
    </w:p>
    <w:p>
      <w:r>
        <w:rPr>
          <w:b/>
        </w:rPr>
        <w:t>E. 8</w:t>
      </w:r>
    </w:p>
    <w:p>
      <w:r>
        <w:t>Zusammenfassend ist festzustellen, dass der Beschwerdeführer keine Gefährdung im Sinne von Art. 3 AsylG glaubhaft machen konnte. Auf­grund der vor­stehenden Erwägungen erübrigt es sich, auf die weiteren Aus­führungen ein­zugehen, da sie am festgestellten Ergebnis nichts zu ändern vermö­gen. Das BFM hat demnach zu Recht die Einreise in die Schweiz nicht bewilligt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