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D-7492/2008 vom 10. November 2010</w:t>
      </w:r>
    </w:p>
    <w:p>
      <w:r>
        <w:t>Bundesverwaltungsgericht, 2010-11-10, DE</w:t>
      </w:r>
    </w:p>
    <w:p>
      <w:r>
        <w:rPr>
          <w:b/>
        </w:rPr>
        <w:t xml:space="preserve">Quelle: </w:t>
      </w:r>
      <w:r>
        <w:t>https://mcp.opencaselaw.ch/entscheid/bvger_D-7492_2008</w:t>
      </w:r>
    </w:p>
    <w:p>
      <w:r>
        <w:t>FR: TAF D-7492/2008 du 10 novembre 2010</w:t>
      </w:r>
    </w:p>
    <w:p>
      <w:r>
        <w:t>IT: TAF D-7492/2008 del 10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Mit der Vorinstanz ist festzuhalten, dass die Vorbringen des Beschwerdeführers den Anforderungen an die Glaubhaftigkeit gemäss Art. 7 AsylG nicht standhalten. Um Wiederholungen zu vermeiden, kann auf die unter Fundangabe in den Protokollen gemachten und nicht zu beanstandenden Erwägungen in der angefochtenen Verfügung verwiesen werden.</w:t>
      </w:r>
    </w:p>
    <w:p>
      <w:r>
        <w:rPr>
          <w:b/>
        </w:rPr>
        <w:t>E. 4.2</w:t>
      </w:r>
    </w:p>
    <w:p>
      <w:r>
        <w:t>Zu keiner anderen Beurteilung führen die Vorbringen in der Rechtsmitteleingabe. Der festgestellte Sachverhalt bleibt unverändert und dem Beschwerdeführer wurde mit Zwischenverfügung vom 2. Dezember 2008 (vgl. Bst. D hiervor) ausführlich und ebenfalls unter Angabe der jeweiligen Fundstellen in den Protokollen dargelegt, weshalb seine Ausführungen in der Beschwerde - da aussichtslos - keine Änderung in der Frage der Asylgewährung zu bewirken vermögen. Auch ist grundsätzlich keine Änderung der Sachlage hinsichtlich der asylrechtlichen Begehren von damals eingetreten (zu den medizinischen Problemen vgl. nachstehend E. 6.5). Was dabei die in der Replik vom 11. Februar 2009 vorgebrachten Argumente anbelangt (der Beschwerdeführer stünde immer noch unter Drohungen der Familie seiner verstorbenen Freundin, fehlgeschlagener Schlichtungsversuch des Onkels in diesem Zusammenhang, Überforderung als Grund für die Nichterwähnung der Dokumente), so sind diese letztlich als nicht belegte Behauptungen und unbehelfliche Erklärungsversuche zu qualifizieren, wobei im Zusammenhang mit den nachgereichten Beweismitteln im Original (vgl. Bst. D und E hiervor) der Vollständigkeit halber zusätzlich auf die nicht zu beanstandenden Ausführungen des BFM in seiner Vernehmlassung vom 22. Januar 2009 (vgl. Bst. H hiervor) zu verweisen ist. Da nähere Hinweise oder Aufschlüsse für eine (asyl-) relevante Gefährdungssituation des Beschwerdeführers nach wie vor unterbleiben, kann daher, um Wiederholungen zu vermeiden, ebenfalls vollumfänglich auf die Ausführungen in der erwähnten Zwischenverfügung verwiesen werden.</w:t>
      </w:r>
    </w:p>
    <w:p>
      <w:r>
        <w:rPr>
          <w:b/>
        </w:rPr>
        <w:t>E. 4.3</w:t>
      </w:r>
    </w:p>
    <w:p>
      <w:r>
        <w:t>Zusammenfassend ist festzustellen, dass der Beschwerdeführer nicht darzutun vermochte, dass er einer Verfolgung im Sinne von Art. 3 AsylG ausgesetzt war oder begründete Furcht hat, einer solchen ausgesetzt werden zu können. Er kann daher nicht als Flüchtling anerkannt werden. Die Vorinstanz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Sicherheits- und Menschenrechtslage in den drei Nordprovinzen des Irak (Dohuk, Erbil und Sulaimaniya) lässt den Wegweisungsvollzug des Beschwerdeführers im heutigen Zeitpunkt nicht als unzulässig erscheinen (vgl. dazu BVGE 2008/4; UK Home Office, Country of Origin Information Report vom 16. September 2009 über die Kurdistan Regional Government Area of Iraq).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6.5.1</w:t>
      </w:r>
    </w:p>
    <w:p>
      <w:r>
        <w:t>Das Bundesverwaltungsgericht geht nach einer umfassenden Beurteilung der aktuellen Situation in den drei nordirakischen Provinzen Dohuk, Sulaimaniya und Erbil davon aus, dass in den drei kurdi-schen Provinzen keine Situation allgemeiner Gewalt herrscht und die dortige politische Lage nicht dermassen angespannt ist, als dass eine Rückführung dorthin als generell unzumutbar betrachtet werden müss-te (vgl. dazu im Einzelnen BVGE 2008/5). Nachdem die Region mit Direktflügen aus Europa sowie aus den Nachbarstaaten erreichbar ist, entfällt zudem das Element einer unzumutbaren Rückreise via Bagdad und auf dem Landweg durch den von Gewalt heimgesuchten Zentral-irak. Zusammenfassend wird im erwähnten Entscheid festgehalten, dass die Anordnung des Wegweisungsvollzugs in der Regel für allein-stehende, gesunde und junge kurdische Männer, die ursprünglich aus einer der drei irakisch-kurdischen Provinzen stammen und dort nach wie vor über ein soziales Netz oder Parteibeziehungen verfügen, zu-mutbar ist. Auf der anderen Seite soll die Zumutbarkeit des Wegwei-sungsvollzuges für alleinstehende Frauen und für Familien mit Kin-dern, sowie für Kranke und Betagte nur mit grosser Zurückhaltung be-jaht werden (vgl. BVGE 2008/5 E. 7.5 und insbesondere 7.5.8 S. 65 ff.). Die Sicherheitssituation im Nordirak hat sich seit Publikation des erwähnten Urteils nicht verschlechtert. In der überwiegenden Mehrheit der Berichte von Regierungs- und Nichtregierungsorganisationen so-wie des UN-Sicherheitsrats wird eine insgesamt stabile Situation be-schrieben (vgl. UK Home Office, a.a.O.). Auch die Schweizerische Flüchtlingshilfe (SFH) spricht in einem Lagebericht vom Sommer 2008 von einer "vergleichsweise friedlichen und stabilen Situation". Die 2007 begonnene und 2008 fortgesetzte türkische Militäroffensive gegen PKK-Stellungen im Nordirak sowie grenzübergreifende Bombenan-griffe des iranischen Militärs hätten die allgemeine Sicherheitslage nicht beeinflusst (Michael Kirschner, SFH, Irak, Update: Aktuelle Entwicklungen, vom 14. August 2008, Ziff. 3.1, S. 9).</w:t>
      </w:r>
    </w:p>
    <w:p>
      <w:r>
        <w:rPr>
          <w:b/>
        </w:rPr>
        <w:t>E. 6.5.2</w:t>
      </w:r>
    </w:p>
    <w:p>
      <w:r>
        <w:t>Der alleinstehende, heute etwas über 20-jährige Beschwerdeführer lebte seit seiner Geburt bis kurz vor der Ausreise in X._______ in der Provinz Dohuk. Irgendwelche Probleme mit den heimatlichen Behörden verneinte er ausdrücklich. Gemäss eigenen Angaben arbeitete er seit seiner Kindheit bis November/Dezember 2006 zusammen mit seinem Vater als Benzinverkäufer auf der Strasse. Aufgrund der Akten kann im Weiteren auch vom Bestehen eines nicht bloss auf einen Onkel (vgl. auch Bst. A, D und H hiervor) beschränkten verwandtschaftlichen Beziehungsnetzes ausgegangen werden. So wohnen gemäss seinen Aussagen im Zeitpunkt seiner Ausreise weitere sieben Tanten und zwei Onkels im Irak (V._______). Es ist davon auszugehen, dass der Beschwerdeführer bei einer allfälligen Rückkehr in den Nordirak auf verwandtschaftliche Unterstützung zählen kann, welche ihm zudem die Reintegration erleichtern dürfte. Kein Wegweisungshindernis unter dem Aspekt der Zumutbarkeit stellen auch die vom Beschwerdeführer geltend gemachten gesundheitlichen Beschwerden dar (vgl. auch Bst. H hiervor). Der vom 30. Dezember 2008 datierende ärztliche Austrittsbericht der Psychiatrischen Klinik W._______ hält fest, dass der Beschwerdeführer nach dem negativen erstinstanzlichen Asylentscheid aufgrund eines depressiven Syndroms während 14 Tagen hospitalisiert gewesen sei. Es sei eine Krisenintervention durchgeführt worden und aufgrund gehäufter Austrittswünsche des Beschwerdeführers und bei fehlenden Gefährdungsaspekten sei er in seine Wohnung entlassen worden. Weder bestehe beim Beschwerdeführer Suizidalität noch Fremdgefährlichkeit. Ferner sind zwischenzeitlich, mithin beinahe zwei Jahre später, keine weiteren gesundheitliche Beschwerden des Beschwerdeführers geltend gemacht oder gar diesbezüglich dokumentierende Unterlagen eingereicht worden. Gestützt auf diese Erwägungen ist davon auszugehen, dass es ihm trotz der angespannten Arbeitsmarktlage im Nordirak gelingen wird, sich dort innert nützlicher Frist eine wirtschaftliche Existenzgrundlage aufzubauen. Zur Überbrückung der voraussichtlichen Anfangsschwierigkeiten kann der Beschwerdeführer beim BFM Rückkehrhilfe beantragen. Insgesamt stehen einer allfälligen Rückkehr des Beschwerdeführers in die Provinz Dohuk keine Gründe wirtschaftlicher, sozialer oder gesundheitlicher Natur entgegen, welche ihn in eine existenzbedrohende Situation geraten lassen würden.</w:t>
      </w:r>
    </w:p>
    <w:p>
      <w:r>
        <w:rPr>
          <w:b/>
        </w:rPr>
        <w:t>E. 6.5.3</w:t>
      </w:r>
    </w:p>
    <w:p>
      <w:r>
        <w:t>Nach dem Gesagten erweist sich der Vollzug der Wegweisung auch als zumutbar.</w:t>
      </w:r>
    </w:p>
    <w:p>
      <w:r>
        <w:rPr>
          <w:b/>
        </w:rPr>
        <w:t>E. 6.6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 nachdem das Gesuch um Gewährung der unentgeltlichen Rechtspflege mit Zwischenverfügung vom 2. Dezember 2008 abgewiesen wurde -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