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D-7485/2014 vom 17. Februar 2015</w:t>
      </w:r>
    </w:p>
    <w:p>
      <w:r>
        <w:t>Bundesverwaltungsgericht, 2015-02-17, DE</w:t>
      </w:r>
    </w:p>
    <w:p>
      <w:r>
        <w:rPr>
          <w:b/>
        </w:rPr>
        <w:t xml:space="preserve">Quelle: </w:t>
      </w:r>
      <w:r>
        <w:t>https://mcp.opencaselaw.ch/entscheid/bvger_D-7485_2014</w:t>
      </w:r>
    </w:p>
    <w:p>
      <w:r>
        <w:t>FR: TAF D-7485/2014 du 17 février 2015</w:t>
      </w:r>
    </w:p>
    <w:p>
      <w:r>
        <w:t>IT: TAF D-7485/2014 del 17 febbraio 2015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und 2 VwVG beziehungsweise Art. 110a AsylG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zugunsten der Gerichtskasse zu überweisen.</w:t>
      </w:r>
    </w:p>
    <w:p>
      <w:r>
        <w:rPr>
          <w:b/>
        </w:rPr>
        <w:t>E. 4</w:t>
      </w:r>
    </w:p>
    <w:p>
      <w:r>
        <w:t>Dieses Urteil geht an den Beschwerdeführer, das SEM und die kantonale Migrationsbehörde. Der Einzelrichter: Die Gerichtsschreiberin: Thomas Wespi Christa Grünig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