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D-7473/2008 vom 2. März 2010</w:t>
      </w:r>
    </w:p>
    <w:p>
      <w:r>
        <w:t>Bundesverwaltungsgericht, 2010-03-02, DE</w:t>
      </w:r>
    </w:p>
    <w:p>
      <w:r>
        <w:rPr>
          <w:b/>
        </w:rPr>
        <w:t xml:space="preserve">Quelle: </w:t>
      </w:r>
      <w:r>
        <w:t>https://mcp.opencaselaw.ch/entscheid/bvger_D-7473_2008</w:t>
      </w:r>
    </w:p>
    <w:p>
      <w:r>
        <w:t>FR: TAF D-7473/2008 du 2 mars 2010</w:t>
      </w:r>
    </w:p>
    <w:p>
      <w:r>
        <w:t>IT: TAF D-7473/2008 del 2 marzo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108 AsylG sowie Art. 105 AsylG i.V.m. Art. 37 VGG und Art. 48 Abs. 1, Art. 50 und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BFM kam im angefochtenen Entscheid zum Schluss, die Verfolgungsvorbringen des Beschwerdeführers seien nicht glaubhaft. Die-se Auffassung ist zu teilen. Einleitend kann festgehalten werden, dass seine Angaben zur (erneuten) Ausreise aus Äthiopien sehr vage und ausweichend ausgefallen sind (A 1/10, S. 7), weshalb gewisse Zweifel am angeblichen Ausreisezeitpunkt bestehen. Im Weiteren gab er vor-erst zu verstehen, die Festnahme sei zwei Monate nach seiner am 3. Februar 2005 erfolgten Wiedereinreise nach Äthiopien erfolgt (A 1/10, S. 2). Demgegenüber legte er zu einem späteren Zeitpunkt derselben Befragung dar, erst am 8. November 2005 verhaftet worden zu sein (A 1/10, S. 6). Auch bei der Anhörung erwähnte er den 8. No-vember 2005 (A 11/27, Antwort 78). Überdies gab er in Abweichung zu den Schilderungen in der Empfangsstelle an, nicht am 3. Februar 2005, sondern erst im März 2005 nach Äthiopien zurückgekehrt zu sein (A 11/27, Antworten 32 und 78). Die Vorinstanz weist ausserdem zu Recht auf die generell substanzarmen Äusserungen des Beschwer-deführers hin. Die Schilderungen angeblich zentraler Fluchtgründe weisen kaum Realkennzeichen auf und sind über weite Strecken ste-reotyp ausgefallen (vgl. u.a. A 11/27, Antworten 99 ff., 120 ff. und 142 ff.). Der Hinweis in der Beschwerdeschrift, die in der Tat eher unlo-gische Haftentlassung verbunden mit der Meldepflicht stelle eventuell einen blossen Hafturlaub dar, vermag die vom BFM überdies als teil-weise realitätsfremd bezeichneten Aussagen offensichtlich nicht als plausibel erscheinen zu lassen, weshalb auf die detaillierten und nach-vollziehbaren Erwägungen des BFM verwiesen werden kann. Nicht zu beanstanden ist namentlich die Auffassung der Vorinstanz, wonach die allfällige Derg-Vergangenheit des Vaters des Beschwerdeführers auf-grund des Zeitablaufs bei ihm nicht zur angegebenen Verfolgung ge-führt haben dürfte. Auch sein eigenes politisches Engagement - sollte er tatsächlich Mitglied respektive Sympathisant der angegebenen Be-wegungen gewesen sein - wirkt in keiner Weise als markant, war er doch nur beschränkt in der Lage, zu Parteibelangen spontane und an-gemessen detaillierte Ausführungen zu machen (A 1/10, S. 6 unten; A 11/27, Antworten 156 ff.). Schliesslich hat er es unterlassen, im Rahmen der ihm angesetzten Frist Beweismittel für die behördliche Verfolgung beizubringen, obwohl ihm bei der Haftentlassung angeblich eine entsprechende Bestätigung ausgestellt worden sein soll. Die Feststellung der Unglaubhaftigkeit der Verfolgung erweist sich mithin auch in diesem Lichte besehen als berechtigt.</w:t>
      </w:r>
    </w:p>
    <w:p>
      <w:r>
        <w:rPr>
          <w:b/>
        </w:rPr>
        <w:t>E. 4.2</w:t>
      </w:r>
    </w:p>
    <w:p>
      <w:r>
        <w:t>Dem Beschwerdeführer ist es demnach nicht gelungen, nachzuweisen oder glaubhaft zu machen, dass er im Zeitpunkt der Ausreise aus Äthiopien ernsthaften Nachteilen im Sinne von Art. 3 Abs. 2 AsylG ausgesetzt war oder dass er begründete Furcht hat, solche Nachteile im Falle der Rückkehr in absehbarer Zukunft mit erheblicher Wahrscheinlichkeit erleiden zu müssen. Es erübrigt sich, auf weitere Beschwerdevorbringen im Einzelnen einzugehen, weil sie am Ergebnis nichts ändern können. Das Bundesamt hat das Asylgesuch zu Recht abgelehnt.</w:t>
      </w:r>
    </w:p>
    <w:p>
      <w:r>
        <w:rPr>
          <w:b/>
        </w:rPr>
        <w:t>E. 5.1</w:t>
      </w:r>
    </w:p>
    <w:p>
      <w:r>
        <w:t>Gemäss Praxis hat eine Person, welche sich auf das Vorliegen subjektiver Nachfluchtgründe beruft, begründeten Anlass zur Furcht vor künftiger Verfolgung, wenn der Heimat- oder Herkunftsstaat mit erheblicher Wahrscheinlichkeit von den Aktivitäten im Ausland erfahren hat und die Person deshalb bei einer Rückkehr in flüchtlingsrechtlich relevanter Weise verfolgen würde. Subjektive Nachfluchtgrün-de begründen zwar die Flüchtlingseigenschaft im Sinn von Art. 3 AsylG, führen jedoch nach Art. 54 AsylG nicht zur Asylgewährung.</w:t>
      </w:r>
    </w:p>
    <w:p>
      <w:r>
        <w:rPr>
          <w:b/>
        </w:rPr>
        <w:t>E. 5.2</w:t>
      </w:r>
    </w:p>
    <w:p>
      <w:r>
        <w:t>Vorliegend macht der Beschwerdeführer geltend, in der Schweiz als Mitglied der CUDP/Kinjit exilpolitisch tätig zu sein. Den Nachweis dieser Aktivitäten ist er aber insofern schuldig geblieben, als er trotz expliziter Aufforderung in der Instruktionsverfügung des Bundesverwaltungsgerichts vom 1. Dezember 2008 keinerlei diesbezügliche Belege nachgereicht hat. Anzufügen ist, dass auch bei angenommener Mitgliedschaft die blosse Teilnahme an Protestveranstaltungen und andere niederschwellige Aktivitäten gemäss Praxis der Asylbehörden im Allgemeinen nicht zur Anerkennung als Flüchtling führen können. Aufgrund der Aktenlage kann der Beschwerdeführer mithin auch betreffend subjektive Nachfluchtgründe nichts zu seinen Gunsten ableiten.</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einen Anspruch auf Erteilung einer solchen. Die Wegweisung wurde demnach zu Recht angeordnet (Art. 44 Abs. 1 AsylG).</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Aufgrund der Akten sowie der vorstehenden Erwägungen betreffend die Frage der Flüchtlingseigenschaft und des Asyls ist indessen nicht davon auszugehen, dass ihm im Falle einer Rückkehr nach Äthiopien eine derartige Gefahr droht, welche den Wegweisungsvollzug als unzulässig erscheinen lassen würde.</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des Beschwerdeführers nach Äthiopien ist im vorliegenden Fall als zumutbar im Sinne von Art. 83 Abs. 4 AuG zu erachten, da er nicht darzutun vermochte, dass er bei einer Rückkehr in sein Heimatland einer konkreten Gefährdungssituation im Sinne der zu beachtenden Bestimmung ausgesetzt wäre. In Äthiopien herrscht zurzeit keine Situation allgemeiner Gewalt, weshalb in kon-stanter Praxis von der generellen Zumutbarkeit des Wegweisungsvollzugs nach Äthiopien ausgegangen wird. In den Akten finden sich auch keine konkreten Anhaltspunkte dafür, dass der Beschwerdeführer aus individuellen Gründen wirtschaftlicher, sozialer oder gesundheitlicher Natur in eine existenzbedrohende Situation geraten würde. Er verfügt über Kenntnisse mehrerer Sprachen, eine Berufsausbildung und Ar-beitserfahrung. Vor Ort dürften diverse soziale Anknüpfungspunkte be-stehen (A 1/10, S. 2 f; A 11/27, Antwort 89). Entsprechend ist davon auszugehen, dass er nach der Rückkehr nicht in eine existenzgefähr-dende Situation gerät.</w:t>
      </w:r>
    </w:p>
    <w:p>
      <w:r>
        <w:rPr>
          <w:b/>
        </w:rPr>
        <w:t>E. 7.3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(Art. 1-3 des Reglements vom 21. Februar 2008 über die Kosten und Entschädi-gungen vor dem Bundesverwaltungsgericht [VGKE, SR 173.320.2]) dem Beschwerdeführer aufzuerlegen (Art. 63 Abs. 1 VwVG). Das Ge-such im Sinne von Art. 65 Abs. 1 VwVG ist bereits deshalb abzuwei-sen, weil er die in Aussicht gestellte Bestätigung für die geltend ge-machte Bedürftigkeit nicht nachgereicht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